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9DB6" w14:textId="2E533D10" w:rsidR="00572B75" w:rsidRPr="00572B75" w:rsidRDefault="00330DE5" w:rsidP="00572B75">
      <w:pPr>
        <w:spacing w:line="200" w:lineRule="exact"/>
        <w:jc w:val="both"/>
        <w:rPr>
          <w:rFonts w:ascii="Calibri" w:hAnsi="Calibri" w:cs="Calibri"/>
          <w:b/>
          <w:bCs/>
          <w:color w:val="0070C0"/>
          <w:lang w:val="ro-RO"/>
        </w:rPr>
      </w:pPr>
      <w:r w:rsidRPr="00047930">
        <w:rPr>
          <w:rFonts w:ascii="Calibri" w:hAnsi="Calibri" w:cs="Calibri"/>
          <w:b/>
          <w:bCs/>
          <w:color w:val="0070C0"/>
          <w:lang w:val="ro-RO"/>
        </w:rPr>
        <w:t xml:space="preserve">Anexa </w:t>
      </w:r>
      <w:r w:rsidR="00ED1094">
        <w:rPr>
          <w:rFonts w:ascii="Calibri" w:hAnsi="Calibri" w:cs="Calibri"/>
          <w:b/>
          <w:bCs/>
          <w:color w:val="0070C0"/>
          <w:lang w:val="ro-RO"/>
        </w:rPr>
        <w:t>nr.</w:t>
      </w:r>
      <w:r w:rsidR="009A41E9">
        <w:rPr>
          <w:rFonts w:ascii="Calibri" w:hAnsi="Calibri" w:cs="Calibri"/>
          <w:b/>
          <w:bCs/>
          <w:color w:val="0070C0"/>
          <w:lang w:val="ro-RO"/>
        </w:rPr>
        <w:t xml:space="preserve"> 1</w:t>
      </w:r>
      <w:r w:rsidR="00801A29">
        <w:rPr>
          <w:rFonts w:ascii="Calibri" w:hAnsi="Calibri" w:cs="Calibri"/>
          <w:b/>
          <w:bCs/>
          <w:color w:val="0070C0"/>
          <w:lang w:val="ro-RO"/>
        </w:rPr>
        <w:t>2</w:t>
      </w:r>
      <w:r w:rsidRPr="00047930">
        <w:rPr>
          <w:rFonts w:ascii="Calibri" w:hAnsi="Calibri" w:cs="Calibri"/>
          <w:b/>
          <w:bCs/>
          <w:color w:val="0070C0"/>
          <w:lang w:val="ro-RO"/>
        </w:rPr>
        <w:t xml:space="preserve"> </w:t>
      </w:r>
      <w:r w:rsidR="00572B75" w:rsidRPr="00572B75">
        <w:rPr>
          <w:rFonts w:ascii="Calibri" w:hAnsi="Calibri" w:cs="Calibri"/>
          <w:b/>
          <w:bCs/>
          <w:color w:val="0070C0"/>
          <w:lang w:val="it-IT"/>
        </w:rPr>
        <w:t xml:space="preserve">la </w:t>
      </w:r>
      <w:r w:rsidR="007403DA" w:rsidRPr="007403DA">
        <w:rPr>
          <w:rFonts w:ascii="Calibri" w:hAnsi="Calibri" w:cs="Calibri"/>
          <w:b/>
          <w:bCs/>
          <w:color w:val="0070C0"/>
          <w:lang w:val="it-IT"/>
        </w:rPr>
        <w:t>Ghidul Solicitantului aferent Programului Tranziție Justă 2021-2027, pentru acțiunea „Dezvoltarea întreprinderilor și a antreprenoriatului”, Componenta „Sprijin pentru infrastructura de afaceri – Parcuri industriale”, Apeluri de proiecte pentru Atenuarea impactului socio-economic al tranziției la neutralitatea climatică în Județele Gorj, Hunedoara, Dolj, Galați, Prahova, Mureș</w:t>
      </w:r>
    </w:p>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1E4CAC4E" w14:textId="25CBD6FE" w:rsidR="00600555" w:rsidRPr="00047930" w:rsidRDefault="00AC318A" w:rsidP="00CE015A">
      <w:pPr>
        <w:tabs>
          <w:tab w:val="left" w:pos="450"/>
        </w:tabs>
        <w:ind w:right="75"/>
        <w:jc w:val="both"/>
        <w:rPr>
          <w:rFonts w:ascii="Calibri" w:eastAsia="Arial" w:hAnsi="Calibri" w:cs="Calibri"/>
          <w:b/>
          <w:spacing w:val="1"/>
          <w:lang w:val="ro-RO"/>
        </w:rPr>
      </w:pPr>
      <w:r>
        <w:rPr>
          <w:rFonts w:ascii="Calibri" w:eastAsia="Arial" w:hAnsi="Calibri" w:cs="Calibri"/>
          <w:b/>
          <w:spacing w:val="1"/>
          <w:lang w:val="ro-RO"/>
        </w:rPr>
        <w:t>A</w:t>
      </w:r>
      <w:r w:rsidR="00600555" w:rsidRPr="00047930">
        <w:rPr>
          <w:rFonts w:ascii="Calibri" w:eastAsia="Arial" w:hAnsi="Calibri" w:cs="Calibri"/>
          <w:b/>
          <w:spacing w:val="1"/>
          <w:lang w:val="ro-RO"/>
        </w:rPr>
        <w:t xml:space="preserve">nexa </w:t>
      </w:r>
      <w:r w:rsidR="00A3123E" w:rsidRPr="00047930">
        <w:rPr>
          <w:rFonts w:ascii="Calibri" w:eastAsia="Arial" w:hAnsi="Calibri" w:cs="Calibri"/>
          <w:b/>
          <w:spacing w:val="1"/>
          <w:lang w:val="ro-RO"/>
        </w:rPr>
        <w:t>6</w:t>
      </w:r>
      <w:r w:rsidR="00600555"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Pr="00047930" w:rsidRDefault="00600555" w:rsidP="00CE015A">
      <w:pPr>
        <w:tabs>
          <w:tab w:val="left" w:pos="450"/>
        </w:tabs>
        <w:ind w:right="75"/>
        <w:jc w:val="both"/>
        <w:rPr>
          <w:rFonts w:ascii="Calibri" w:eastAsia="Arial" w:hAnsi="Calibri" w:cs="Calibri"/>
          <w:spacing w:val="1"/>
          <w:lang w:val="ro-RO"/>
        </w:rPr>
      </w:pPr>
    </w:p>
    <w:p w14:paraId="5F5F5376" w14:textId="68038BFB" w:rsidR="00211BC2" w:rsidRPr="00047930" w:rsidRDefault="007D0345"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eastAsia="Arial" w:hAnsi="Calibri" w:cs="Calibri"/>
          <w:b/>
          <w:spacing w:val="1"/>
          <w:lang w:val="ro-RO"/>
        </w:rPr>
        <w:t xml:space="preserve">Secțiunea I – Condiții specifice aplicabile Programului Tranziție Justă </w:t>
      </w:r>
      <w:r w:rsidR="00211BC2" w:rsidRPr="00047930">
        <w:rPr>
          <w:rFonts w:ascii="Calibri" w:hAnsi="Calibri" w:cs="Calibri"/>
          <w:b/>
          <w:iCs/>
          <w:noProof/>
          <w:lang w:val="it-IT" w:eastAsia="sk-SK"/>
        </w:rPr>
        <w:t>Completarea Condițiilor generale privind rambursarea/plata cheltuielilor:</w:t>
      </w:r>
    </w:p>
    <w:p w14:paraId="2D2C9D50" w14:textId="3DF61101"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10610619"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22C47953" w:rsidR="00211BC2" w:rsidRPr="00047930" w:rsidRDefault="00276A7A" w:rsidP="00CE015A">
      <w:pPr>
        <w:pStyle w:val="ListParagraph"/>
        <w:numPr>
          <w:ilvl w:val="0"/>
          <w:numId w:val="58"/>
        </w:numPr>
        <w:ind w:left="478"/>
        <w:jc w:val="both"/>
        <w:rPr>
          <w:rFonts w:ascii="Calibri" w:eastAsia="Arial" w:hAnsi="Calibri" w:cs="Calibri"/>
          <w:lang w:val="ro-RO"/>
        </w:rPr>
      </w:pPr>
      <w:r w:rsidRPr="00351910">
        <w:rPr>
          <w:rFonts w:ascii="Calibri" w:eastAsia="Arial" w:hAnsi="Calibri" w:cs="Calibri"/>
          <w:lang w:val="ro-RO"/>
        </w:rPr>
        <w:t>Beneficiarul este Unitatea Administrativ Teritorială care deține/urmează să dețină majoritatea acțiunilor/părților sociale în cadrul societății administrator al parcului industrial</w:t>
      </w:r>
      <w:r w:rsidR="00351910">
        <w:rPr>
          <w:rFonts w:ascii="Calibri" w:eastAsia="Arial" w:hAnsi="Calibri" w:cs="Calibri"/>
          <w:lang w:val="ro-RO"/>
        </w:rPr>
        <w:t>,</w:t>
      </w:r>
      <w:r w:rsidRPr="00351910">
        <w:rPr>
          <w:rFonts w:ascii="Calibri" w:eastAsia="Arial" w:hAnsi="Calibri" w:cs="Calibri"/>
          <w:lang w:val="ro-RO"/>
        </w:rPr>
        <w:t xml:space="preserve"> în conformitate cu prevederile legii nr. 186/2013, cu modificările și completările ulterioareare.</w:t>
      </w:r>
      <w:r w:rsidR="00351910" w:rsidRPr="00351910">
        <w:rPr>
          <w:rFonts w:ascii="Calibri" w:eastAsia="Arial" w:hAnsi="Calibri" w:cs="Calibri"/>
          <w:lang w:val="ro-RO"/>
        </w:rPr>
        <w:t xml:space="preserve"> </w:t>
      </w:r>
      <w:r w:rsidRPr="00351910">
        <w:rPr>
          <w:rFonts w:ascii="Calibri" w:eastAsia="Arial" w:hAnsi="Calibri" w:cs="Calibri"/>
          <w:lang w:val="ro-RO"/>
        </w:rPr>
        <w:t>Beneficiarul își va păstra calitatea de acționar majoritar în societatea la care este administrator</w:t>
      </w:r>
      <w:r w:rsidR="00351910">
        <w:rPr>
          <w:rFonts w:ascii="Calibri" w:eastAsia="Arial" w:hAnsi="Calibri" w:cs="Calibri"/>
          <w:lang w:val="ro-RO"/>
        </w:rPr>
        <w:t xml:space="preserve"> al parcului industrial</w:t>
      </w:r>
      <w:r w:rsidRPr="00351910">
        <w:rPr>
          <w:rFonts w:ascii="Calibri" w:eastAsia="Arial" w:hAnsi="Calibri" w:cs="Calibri"/>
          <w:lang w:val="ro-RO"/>
        </w:rPr>
        <w:t>, neîntrerupt de la data dobândirii acestei calități și pe toată perioada de implementare și durabilitate a investiției aprobate.</w:t>
      </w:r>
      <w:r w:rsidR="00211BC2"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654D284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nu întreprinde nici o acţiune de natură a afecta condițiile de construire/exploatare asupra infrastructurii (teren și/sau clădire) aferente proiectului până la finalizarea perioadei de durabilitate prevăzută la art. 2, alin. (5) din </w:t>
      </w:r>
      <w:r w:rsidR="0025774A" w:rsidRPr="0025774A">
        <w:rPr>
          <w:rFonts w:ascii="Calibri" w:eastAsia="Arial" w:hAnsi="Calibri" w:cs="Calibri"/>
          <w:lang w:val="ro-RO"/>
        </w:rPr>
        <w:t xml:space="preserve">Contractul de finanțare – </w:t>
      </w:r>
      <w:r w:rsidRPr="00047930">
        <w:rPr>
          <w:rFonts w:ascii="Calibri" w:eastAsia="Arial" w:hAnsi="Calibri" w:cs="Calibri"/>
          <w:lang w:val="ro-RO"/>
        </w:rPr>
        <w:t>Condițiile generale.</w:t>
      </w:r>
    </w:p>
    <w:p w14:paraId="59E3B148" w14:textId="5DD8A72A"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(După caz) Beneficiarul are obligaţia de a menține investiția realizată din contribuția din fonduri europene structurale şi de investiţii (FESI) pe o perioadă de trei/cinci ani (după caz) de la efectuarea plății finale</w:t>
      </w:r>
      <w:r w:rsidR="00045FBB">
        <w:rPr>
          <w:rFonts w:ascii="Calibri" w:eastAsia="Arial" w:hAnsi="Calibri" w:cs="Calibri"/>
          <w:lang w:val="ro-RO"/>
        </w:rPr>
        <w:t>.</w:t>
      </w:r>
      <w:r w:rsidRPr="00047930">
        <w:rPr>
          <w:rFonts w:ascii="Calibri" w:eastAsia="Arial" w:hAnsi="Calibri" w:cs="Calibri"/>
          <w:lang w:val="ro-RO"/>
        </w:rPr>
        <w:t xml:space="preserve"> </w:t>
      </w:r>
    </w:p>
    <w:p w14:paraId="0F14F079" w14:textId="347BD816" w:rsidR="00211BC2" w:rsidRPr="00767B77" w:rsidRDefault="00211BC2" w:rsidP="00CE015A">
      <w:pPr>
        <w:pStyle w:val="ListParagraph"/>
        <w:numPr>
          <w:ilvl w:val="0"/>
          <w:numId w:val="58"/>
        </w:numPr>
        <w:ind w:left="478"/>
        <w:jc w:val="both"/>
        <w:rPr>
          <w:rFonts w:ascii="Calibri" w:eastAsia="Arial" w:hAnsi="Calibri" w:cs="Calibri"/>
          <w:lang w:val="ro-RO"/>
        </w:rPr>
      </w:pPr>
      <w:r w:rsidRPr="00767B77">
        <w:rPr>
          <w:rFonts w:ascii="Calibri" w:eastAsia="Arial" w:hAnsi="Calibri" w:cs="Calibri"/>
          <w:lang w:val="ro-RO"/>
        </w:rPr>
        <w:lastRenderedPageBreak/>
        <w:t xml:space="preserve">Beneficiarul are obligaţia de a respecta Anexa  </w:t>
      </w:r>
      <w:r w:rsidR="00767B77" w:rsidRPr="00767B77">
        <w:rPr>
          <w:rFonts w:ascii="Calibri" w:eastAsia="Arial" w:hAnsi="Calibri" w:cs="Calibri"/>
          <w:lang w:val="ro-RO"/>
        </w:rPr>
        <w:t>4</w:t>
      </w:r>
      <w:r w:rsidR="00113044" w:rsidRPr="00767B77">
        <w:rPr>
          <w:rFonts w:ascii="Calibri" w:eastAsia="Arial" w:hAnsi="Calibri" w:cs="Calibri"/>
          <w:lang w:val="ro-RO"/>
        </w:rPr>
        <w:t xml:space="preserve"> </w:t>
      </w:r>
      <w:r w:rsidRPr="00767B77">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6E86F95" w14:textId="77777777" w:rsidR="00013D97" w:rsidRPr="004A384F"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w:t>
      </w:r>
      <w:r w:rsidRPr="004A384F">
        <w:rPr>
          <w:rFonts w:ascii="Calibri" w:eastAsia="Arial" w:hAnsi="Calibri" w:cs="Calibri"/>
          <w:lang w:val="ro-RO"/>
        </w:rPr>
        <w:t>prezentului Contract de finanțare.</w:t>
      </w:r>
    </w:p>
    <w:p w14:paraId="6ABC9345" w14:textId="697EF525" w:rsidR="00290031" w:rsidRPr="00767B77" w:rsidRDefault="00290031" w:rsidP="00767B77">
      <w:pPr>
        <w:pStyle w:val="ListParagraph"/>
        <w:numPr>
          <w:ilvl w:val="0"/>
          <w:numId w:val="58"/>
        </w:numPr>
        <w:ind w:left="478"/>
        <w:jc w:val="both"/>
        <w:rPr>
          <w:rFonts w:ascii="Calibri" w:eastAsia="Arial" w:hAnsi="Calibri" w:cs="Calibri"/>
          <w:lang w:val="ro-RO"/>
        </w:rPr>
      </w:pPr>
      <w:r w:rsidRPr="00767B77">
        <w:rPr>
          <w:rFonts w:ascii="Calibri" w:hAnsi="Calibri" w:cs="Calibri"/>
          <w:lang w:val="ro-RO"/>
        </w:rPr>
        <w:t>Beneficiarul se obligă să asigure procent</w:t>
      </w:r>
      <w:r w:rsidR="00865470" w:rsidRPr="00767B77">
        <w:rPr>
          <w:rFonts w:ascii="Calibri" w:hAnsi="Calibri" w:cs="Calibri"/>
          <w:lang w:val="ro-RO"/>
        </w:rPr>
        <w:t>ul</w:t>
      </w:r>
      <w:r w:rsidRPr="00767B77">
        <w:rPr>
          <w:rFonts w:ascii="Calibri" w:hAnsi="Calibri" w:cs="Calibri"/>
          <w:lang w:val="ro-RO"/>
        </w:rPr>
        <w:t xml:space="preserve"> minim </w:t>
      </w:r>
      <w:r w:rsidRPr="00767B77">
        <w:rPr>
          <w:rFonts w:ascii="Calibri" w:eastAsia="Arial" w:hAnsi="Calibri" w:cs="Calibri"/>
          <w:lang w:val="ro-RO"/>
        </w:rPr>
        <w:t>de cofinanțare proprie din totalul cheltuielilor eligibile</w:t>
      </w:r>
      <w:r w:rsidR="00865470" w:rsidRPr="00767B77">
        <w:rPr>
          <w:rFonts w:ascii="Calibri" w:eastAsia="Arial" w:hAnsi="Calibri" w:cs="Calibri"/>
          <w:lang w:val="ro-RO"/>
        </w:rPr>
        <w:t xml:space="preserve"> conform prevederilor ordinului </w:t>
      </w:r>
      <w:bookmarkStart w:id="0" w:name="_Hlk214570310"/>
      <w:r w:rsidR="007E5EED">
        <w:rPr>
          <w:rFonts w:ascii="Calibri" w:eastAsia="Arial" w:hAnsi="Calibri" w:cs="Calibri"/>
          <w:lang w:val="ro-RO"/>
        </w:rPr>
        <w:t xml:space="preserve">OMIPE </w:t>
      </w:r>
      <w:r w:rsidR="00865470" w:rsidRPr="00767B77">
        <w:rPr>
          <w:rFonts w:ascii="Calibri" w:eastAsia="Arial" w:hAnsi="Calibri" w:cs="Calibri"/>
          <w:lang w:val="ro-RO"/>
        </w:rPr>
        <w:t>nr</w:t>
      </w:r>
      <w:r w:rsidR="007E5EED" w:rsidRPr="007E5EED">
        <w:t xml:space="preserve"> </w:t>
      </w:r>
      <w:r w:rsidR="007E5EED" w:rsidRPr="007E5EED">
        <w:rPr>
          <w:rFonts w:ascii="Calibri" w:eastAsia="Arial" w:hAnsi="Calibri" w:cs="Calibri"/>
          <w:lang w:val="ro-RO"/>
        </w:rPr>
        <w:t>5748/2025</w:t>
      </w:r>
      <w:r w:rsidR="007E5EED">
        <w:rPr>
          <w:rFonts w:ascii="Calibri" w:eastAsia="Arial" w:hAnsi="Calibri" w:cs="Calibri"/>
          <w:lang w:val="ro-RO"/>
        </w:rPr>
        <w:t xml:space="preserve"> </w:t>
      </w:r>
      <w:r w:rsidR="007E5EED" w:rsidRPr="007E5EED">
        <w:rPr>
          <w:rFonts w:ascii="Calibri" w:eastAsia="Arial" w:hAnsi="Calibri" w:cs="Calibri"/>
          <w:lang w:val="ro-RO"/>
        </w:rPr>
        <w:t>privind aprobarea schemei de ajutor de stat și de minimis pentru dezvoltarea antreprenoriatului prin finanțarea înființării și dezvoltării parcurilor industriale</w:t>
      </w:r>
      <w:r w:rsidRPr="00767B77">
        <w:rPr>
          <w:rFonts w:ascii="Calibri" w:eastAsia="Arial" w:hAnsi="Calibri" w:cs="Calibri"/>
          <w:lang w:val="ro-RO"/>
        </w:rPr>
        <w:t>.</w:t>
      </w:r>
      <w:bookmarkEnd w:id="0"/>
    </w:p>
    <w:p w14:paraId="5F6AA7CA" w14:textId="77777777" w:rsidR="00290031" w:rsidRPr="00767B77" w:rsidRDefault="00290031" w:rsidP="00767B77">
      <w:pPr>
        <w:pStyle w:val="ListParagraph"/>
        <w:numPr>
          <w:ilvl w:val="0"/>
          <w:numId w:val="58"/>
        </w:numPr>
        <w:ind w:left="478"/>
        <w:jc w:val="both"/>
        <w:rPr>
          <w:rFonts w:ascii="Calibri" w:eastAsia="Arial" w:hAnsi="Calibri" w:cs="Calibri"/>
          <w:lang w:val="ro-RO"/>
        </w:rPr>
      </w:pPr>
      <w:r w:rsidRPr="00767B77">
        <w:rPr>
          <w:rFonts w:ascii="Calibri" w:eastAsia="Arial" w:hAnsi="Calibri" w:cs="Calibri"/>
          <w:lang w:val="ro-RO"/>
        </w:rPr>
        <w:t xml:space="preserve">Beneficiarul își asumă obligația ca costurile eligibile indirecte să reprezinte 7% </w:t>
      </w:r>
      <w:bookmarkStart w:id="1" w:name="_Hlk149000486"/>
      <w:r w:rsidRPr="00767B77">
        <w:rPr>
          <w:rFonts w:ascii="Calibri" w:eastAsia="Arial" w:hAnsi="Calibri" w:cs="Calibri"/>
          <w:lang w:val="ro-RO"/>
        </w:rPr>
        <w:t>din costurile directe eligibile</w:t>
      </w:r>
      <w:bookmarkEnd w:id="1"/>
      <w:r w:rsidRPr="00767B77">
        <w:rPr>
          <w:rFonts w:ascii="Calibri" w:eastAsia="Arial" w:hAnsi="Calibri" w:cs="Calibri"/>
          <w:lang w:val="ro-RO"/>
        </w:rPr>
        <w:t xml:space="preserve"> și să aibă în vedere să fie toate acele cheltuieli care nu se încadrează în categoria cheltuielilor directe și care sprijină transversal implementarea proiectului.</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w:t>
      </w:r>
      <w:r w:rsidRPr="00047930">
        <w:rPr>
          <w:rFonts w:ascii="Calibri" w:eastAsia="Arial" w:hAnsi="Calibri" w:cs="Calibri"/>
          <w:color w:val="auto"/>
          <w:sz w:val="20"/>
          <w:szCs w:val="20"/>
        </w:rPr>
        <w:lastRenderedPageBreak/>
        <w:t>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65BA5DDA" w14:textId="33CB23F0" w:rsidR="000433DB" w:rsidRPr="00CB56EB" w:rsidRDefault="000433DB" w:rsidP="000433DB">
      <w:pPr>
        <w:pStyle w:val="ListParagraph"/>
        <w:numPr>
          <w:ilvl w:val="0"/>
          <w:numId w:val="58"/>
        </w:numPr>
        <w:ind w:left="478"/>
        <w:jc w:val="both"/>
        <w:rPr>
          <w:rFonts w:ascii="Calibri" w:eastAsia="Arial" w:hAnsi="Calibri" w:cs="Calibri"/>
          <w:lang w:val="it-IT"/>
        </w:rPr>
      </w:pPr>
      <w:r w:rsidRPr="00CB56EB">
        <w:rPr>
          <w:rFonts w:ascii="Calibri" w:eastAsia="Arial" w:hAnsi="Calibri" w:cs="Calibri"/>
          <w:lang w:val="it-IT"/>
        </w:rPr>
        <w:t>Dacă la data depunerii cererii de finanțare titlul de parc industrial nu a fost emis, beneficiarul se obligă ca, până la  ultima plată, să depună la AM PTJ dovada obținerii acestuia, sub sancțiunea rezilierii contractului de finanțare și recuperarea ajutorului conferit, inclusiv dobanzile aferente, conform OUG nr. 77/2014, privind procedurile naţionale în domeniul ajutorului de stat, precum şi pentru modificarea şi completarea Legii concurenţei nr. 21/1996, cu modificările și completările ulterioare, de la data la care ajutorul de stat/minimis a fost plătit beneficiarului, până la data recuperării efective.</w:t>
      </w:r>
    </w:p>
    <w:p w14:paraId="54548D3A" w14:textId="0ADFADAA" w:rsidR="000433DB" w:rsidRPr="00CB56EB" w:rsidRDefault="000433DB" w:rsidP="009C7CE4">
      <w:pPr>
        <w:pStyle w:val="ListParagraph"/>
        <w:numPr>
          <w:ilvl w:val="0"/>
          <w:numId w:val="58"/>
        </w:numPr>
        <w:ind w:left="478"/>
        <w:jc w:val="both"/>
        <w:rPr>
          <w:rFonts w:ascii="Calibri" w:eastAsia="Arial" w:hAnsi="Calibri" w:cs="Calibri"/>
          <w:lang w:val="it-IT"/>
        </w:rPr>
      </w:pPr>
      <w:r w:rsidRPr="00CB56EB">
        <w:rPr>
          <w:rFonts w:ascii="Calibri" w:eastAsia="Arial" w:hAnsi="Calibri" w:cs="Calibri"/>
          <w:lang w:val="it-IT"/>
        </w:rPr>
        <w:t>Beneficiarul</w:t>
      </w:r>
      <w:r w:rsidR="002F36C9" w:rsidRPr="00CB56EB">
        <w:rPr>
          <w:rFonts w:ascii="Calibri" w:eastAsia="Arial" w:hAnsi="Calibri" w:cs="Calibri"/>
          <w:lang w:val="it-IT"/>
        </w:rPr>
        <w:t>/Liderul de parteneriat</w:t>
      </w:r>
      <w:r w:rsidRPr="00CB56EB">
        <w:rPr>
          <w:rFonts w:ascii="Calibri" w:eastAsia="Arial" w:hAnsi="Calibri" w:cs="Calibri"/>
          <w:lang w:val="it-IT"/>
        </w:rPr>
        <w:t xml:space="preserve"> trebuie să facă dovada că deține majoritatea acțiunilor/părților sociale la entitatea cu rol de administrator al parcului industrial finanțat, cel târziu până la data finalizării implementării proiectului.</w:t>
      </w:r>
      <w:r w:rsidR="00CB56EB">
        <w:rPr>
          <w:rFonts w:ascii="Calibri" w:eastAsia="Arial" w:hAnsi="Calibri" w:cs="Calibri"/>
          <w:lang w:val="it-IT"/>
        </w:rPr>
        <w:t xml:space="preserve"> </w:t>
      </w:r>
      <w:r w:rsidR="00CB56EB" w:rsidRPr="00CB56EB">
        <w:rPr>
          <w:rFonts w:ascii="Calibri" w:eastAsia="Arial" w:hAnsi="Calibri" w:cs="Calibri"/>
          <w:lang w:val="it-IT"/>
        </w:rPr>
        <w:t>Administratorul parcului industrial trebuie sa fie persoană juridică de drept privat, înființată în condițiile OUG nr. 109/2011 privind guvernanța corporativă a întreprinderilor publice, de către fondatori cu scopul de a constitui un parc industrial</w:t>
      </w:r>
      <w:r w:rsidR="00CB56EB">
        <w:rPr>
          <w:rFonts w:ascii="Calibri" w:eastAsia="Arial" w:hAnsi="Calibri" w:cs="Calibri"/>
          <w:lang w:val="it-IT"/>
        </w:rPr>
        <w:t>.</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767B77" w:rsidRDefault="00211BC2" w:rsidP="00CE015A">
      <w:pPr>
        <w:numPr>
          <w:ilvl w:val="0"/>
          <w:numId w:val="61"/>
        </w:numPr>
        <w:spacing w:after="40"/>
        <w:jc w:val="both"/>
        <w:rPr>
          <w:rFonts w:ascii="Calibri" w:hAnsi="Calibri" w:cs="Calibri"/>
          <w:iCs/>
          <w:noProof/>
          <w:lang w:val="it-IT" w:eastAsia="sk-SK"/>
        </w:rPr>
      </w:pPr>
      <w:r w:rsidRPr="00767B77">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48304EAC"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bookmarkStart w:id="2" w:name="_Hlk207808057"/>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 xml:space="preserve">implementarea în parteneriat a proiectelor </w:t>
      </w:r>
      <w:bookmarkEnd w:id="2"/>
      <w:r w:rsidRPr="00047930">
        <w:rPr>
          <w:rFonts w:ascii="Calibri" w:hAnsi="Calibri" w:cs="Calibri"/>
          <w:b/>
          <w:iCs/>
          <w:noProof/>
          <w:lang w:val="it-IT" w:eastAsia="sk-SK"/>
        </w:rPr>
        <w:t>(dacă este cazul)</w:t>
      </w:r>
    </w:p>
    <w:p w14:paraId="1BFF416E" w14:textId="0B941927" w:rsidR="00676A71" w:rsidRPr="00351910" w:rsidRDefault="00E6364C" w:rsidP="00351910">
      <w:pPr>
        <w:pStyle w:val="ListParagraph"/>
        <w:numPr>
          <w:ilvl w:val="0"/>
          <w:numId w:val="62"/>
        </w:numPr>
        <w:ind w:left="478"/>
        <w:jc w:val="both"/>
        <w:rPr>
          <w:rFonts w:ascii="Calibri" w:eastAsia="Arial" w:hAnsi="Calibri" w:cs="Calibri"/>
          <w:lang w:val="ro-RO"/>
        </w:rPr>
      </w:pPr>
      <w:bookmarkStart w:id="3" w:name="_Hlk207808071"/>
      <w:r w:rsidRPr="00351910">
        <w:rPr>
          <w:rFonts w:ascii="Calibri" w:eastAsia="Arial" w:hAnsi="Calibri" w:cs="Calibri"/>
          <w:lang w:val="ro-RO"/>
        </w:rPr>
        <w:t xml:space="preserve">Liderul de parteneriat este Unitatea Administrativ Teritorială </w:t>
      </w:r>
      <w:r w:rsidR="00351910" w:rsidRPr="00351910">
        <w:rPr>
          <w:rFonts w:ascii="Calibri" w:eastAsia="Arial" w:hAnsi="Calibri" w:cs="Calibri"/>
          <w:lang w:val="ro-RO"/>
        </w:rPr>
        <w:t xml:space="preserve">care deține/urmează să dețină majoritatea acțiunilor/părților sociale în cadrul societății administrator al parcului industrial în conformitate cu prevederile legii nr. 186/2013, cu modificările și completările ulterioareare. </w:t>
      </w:r>
      <w:r w:rsidR="00351910">
        <w:rPr>
          <w:rFonts w:ascii="Calibri" w:eastAsia="Arial" w:hAnsi="Calibri" w:cs="Calibri"/>
          <w:lang w:val="ro-RO"/>
        </w:rPr>
        <w:t>Liderul de parteneriat</w:t>
      </w:r>
      <w:r w:rsidR="00351910" w:rsidRPr="00351910">
        <w:rPr>
          <w:rFonts w:ascii="Calibri" w:eastAsia="Arial" w:hAnsi="Calibri" w:cs="Calibri"/>
          <w:lang w:val="ro-RO"/>
        </w:rPr>
        <w:t xml:space="preserve"> își va păstra calitatea de acționar majoritar în societatea care este administrator</w:t>
      </w:r>
      <w:r w:rsidR="00351910">
        <w:rPr>
          <w:rFonts w:ascii="Calibri" w:eastAsia="Arial" w:hAnsi="Calibri" w:cs="Calibri"/>
          <w:lang w:val="ro-RO"/>
        </w:rPr>
        <w:t xml:space="preserve"> al parcului industrial</w:t>
      </w:r>
      <w:r w:rsidR="00351910" w:rsidRPr="00351910">
        <w:rPr>
          <w:rFonts w:ascii="Calibri" w:eastAsia="Arial" w:hAnsi="Calibri" w:cs="Calibri"/>
          <w:lang w:val="ro-RO"/>
        </w:rPr>
        <w:t>, neîntrerupt de la data dobândirii acestei calități și pe toată perioada de implementare și durabilitate a investiției aprobate.</w:t>
      </w:r>
    </w:p>
    <w:p w14:paraId="799EFC83" w14:textId="53232E37" w:rsidR="003B4A4D" w:rsidRPr="00047930" w:rsidRDefault="003B4A4D"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lastRenderedPageBreak/>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bookmarkEnd w:id="3"/>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w:t>
      </w:r>
      <w:r w:rsidRPr="00047930">
        <w:rPr>
          <w:rFonts w:ascii="Calibri" w:eastAsia="Arial" w:hAnsi="Calibri" w:cs="Calibri"/>
          <w:lang w:val="ro-RO"/>
        </w:rPr>
        <w:lastRenderedPageBreak/>
        <w:t xml:space="preserve">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4" w:name="_Hlk141443651"/>
      <w:r w:rsidRPr="00047930">
        <w:rPr>
          <w:rFonts w:ascii="Calibri" w:eastAsia="Arial" w:hAnsi="Calibri" w:cs="Calibri"/>
          <w:lang w:val="ro-RO"/>
        </w:rPr>
        <w:t>din Condițiile generale din Contractul de finanţare</w:t>
      </w:r>
      <w:bookmarkEnd w:id="4"/>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5765FCF3"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termen de 5 (cinci) zile </w:t>
      </w:r>
      <w:r w:rsidR="00DA77F5">
        <w:rPr>
          <w:rFonts w:ascii="Calibri" w:eastAsia="Arial" w:hAnsi="Calibri" w:cs="Calibri"/>
          <w:lang w:val="ro-RO"/>
        </w:rPr>
        <w:t xml:space="preserve">lucrătoare </w:t>
      </w:r>
      <w:r w:rsidRPr="00047930">
        <w:rPr>
          <w:rFonts w:ascii="Calibri" w:eastAsia="Arial" w:hAnsi="Calibri" w:cs="Calibri"/>
          <w:lang w:val="ro-RO"/>
        </w:rPr>
        <w:t>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lastRenderedPageBreak/>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BB65C3" w:rsidRDefault="00211BC2" w:rsidP="00CE015A">
      <w:pPr>
        <w:pStyle w:val="ListParagraph"/>
        <w:numPr>
          <w:ilvl w:val="0"/>
          <w:numId w:val="68"/>
        </w:numPr>
        <w:ind w:left="478"/>
        <w:jc w:val="both"/>
        <w:rPr>
          <w:rFonts w:ascii="Calibri" w:eastAsia="Arial" w:hAnsi="Calibri" w:cs="Calibri"/>
          <w:lang w:val="ro-RO"/>
        </w:rPr>
      </w:pPr>
      <w:r w:rsidRPr="00BB65C3">
        <w:rPr>
          <w:rFonts w:ascii="Calibri" w:eastAsia="Arial" w:hAnsi="Calibri" w:cs="Calibri"/>
          <w:lang w:val="ro-RO"/>
        </w:rPr>
        <w:t xml:space="preserve">(dacă este cazul) Orice modificare a componenţei parteneriatului cu încălcarea prevederilor art. </w:t>
      </w:r>
      <w:r w:rsidR="00724016" w:rsidRPr="00BB65C3">
        <w:rPr>
          <w:rFonts w:ascii="Calibri" w:eastAsia="Arial" w:hAnsi="Calibri" w:cs="Calibri"/>
          <w:lang w:val="ro-RO"/>
        </w:rPr>
        <w:t>7</w:t>
      </w:r>
      <w:r w:rsidRPr="00BB65C3">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lastRenderedPageBreak/>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7EF1DB8" w14:textId="77777777" w:rsidR="008F2C64" w:rsidRPr="004B47F0" w:rsidRDefault="008F2C64" w:rsidP="004B47F0">
      <w:pPr>
        <w:pStyle w:val="ListParagraph"/>
        <w:numPr>
          <w:ilvl w:val="0"/>
          <w:numId w:val="68"/>
        </w:numPr>
        <w:ind w:left="478"/>
        <w:jc w:val="both"/>
        <w:rPr>
          <w:rFonts w:ascii="Calibri" w:eastAsia="Arial" w:hAnsi="Calibri" w:cs="Calibri"/>
          <w:lang w:val="ro-RO"/>
        </w:rPr>
      </w:pPr>
      <w:r w:rsidRPr="004B47F0">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4D7FD4EE" w14:textId="77777777" w:rsidR="008F2C64" w:rsidRPr="00047930" w:rsidRDefault="008F2C64" w:rsidP="00BB65C3">
      <w:pPr>
        <w:pStyle w:val="ListParagraph"/>
        <w:ind w:left="478"/>
        <w:jc w:val="both"/>
        <w:rPr>
          <w:rFonts w:ascii="Calibri" w:eastAsia="Arial" w:hAnsi="Calibri" w:cs="Calibri"/>
          <w:lang w:val="ro-RO"/>
        </w:rPr>
      </w:pP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BB65C3"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 xml:space="preserve">privind supracontractarea proiectelor (acolo unde </w:t>
      </w:r>
      <w:r w:rsidRPr="00BB65C3">
        <w:rPr>
          <w:rFonts w:ascii="Calibri" w:hAnsi="Calibri" w:cs="Calibri"/>
          <w:b/>
          <w:iCs/>
          <w:noProof/>
          <w:lang w:val="it-IT" w:eastAsia="sk-SK"/>
        </w:rPr>
        <w:t>este cazul)</w:t>
      </w:r>
    </w:p>
    <w:p w14:paraId="49F2718F" w14:textId="63E3E1CE" w:rsidR="00CD2833" w:rsidRPr="00BB65C3" w:rsidRDefault="00CD2833" w:rsidP="00CE015A">
      <w:pPr>
        <w:pStyle w:val="ListParagraph"/>
        <w:numPr>
          <w:ilvl w:val="0"/>
          <w:numId w:val="70"/>
        </w:numPr>
        <w:ind w:left="478"/>
        <w:jc w:val="both"/>
        <w:rPr>
          <w:rFonts w:ascii="Calibri" w:eastAsia="Arial" w:hAnsi="Calibri" w:cs="Calibri"/>
          <w:lang w:val="ro-RO"/>
        </w:rPr>
      </w:pPr>
      <w:r w:rsidRPr="00BB65C3">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BB65C3" w:rsidRDefault="00211BC2" w:rsidP="00CE015A">
      <w:pPr>
        <w:pStyle w:val="ListParagraph"/>
        <w:numPr>
          <w:ilvl w:val="0"/>
          <w:numId w:val="70"/>
        </w:numPr>
        <w:ind w:left="478"/>
        <w:jc w:val="both"/>
        <w:rPr>
          <w:rFonts w:ascii="Calibri" w:eastAsia="Arial" w:hAnsi="Calibri" w:cs="Calibri"/>
          <w:lang w:val="ro-RO"/>
        </w:rPr>
      </w:pPr>
      <w:r w:rsidRPr="00BB65C3">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BB65C3">
        <w:rPr>
          <w:rFonts w:ascii="Calibri" w:hAnsi="Calibri" w:cs="Calibri"/>
          <w:b/>
          <w:iCs/>
          <w:noProof/>
          <w:lang w:val="it-IT" w:eastAsia="sk-SK"/>
        </w:rPr>
        <w:t>Completarea Condițiilor generale</w:t>
      </w:r>
      <w:r w:rsidRPr="00047930">
        <w:rPr>
          <w:rFonts w:ascii="Calibri" w:hAnsi="Calibri" w:cs="Calibri"/>
          <w:b/>
          <w:iCs/>
          <w:noProof/>
          <w:lang w:val="it-IT" w:eastAsia="sk-SK"/>
        </w:rPr>
        <w:t xml:space="preserv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385FF90" w14:textId="77777777" w:rsidR="008F2C64" w:rsidRPr="004B47F0" w:rsidRDefault="008F2C64" w:rsidP="004B47F0">
      <w:pPr>
        <w:pStyle w:val="ListParagraph"/>
        <w:numPr>
          <w:ilvl w:val="0"/>
          <w:numId w:val="84"/>
        </w:numPr>
        <w:jc w:val="both"/>
        <w:rPr>
          <w:rFonts w:ascii="Calibri" w:eastAsia="Arial" w:hAnsi="Calibri" w:cs="Calibri"/>
          <w:lang w:val="ro-RO"/>
        </w:rPr>
      </w:pPr>
      <w:r w:rsidRPr="004B47F0">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40C7E318" w14:textId="6225E4C0" w:rsidR="008F2C64" w:rsidRPr="004B47F0" w:rsidRDefault="008F2C64" w:rsidP="004B47F0">
      <w:pPr>
        <w:pStyle w:val="ListParagraph"/>
        <w:numPr>
          <w:ilvl w:val="0"/>
          <w:numId w:val="84"/>
        </w:numPr>
        <w:jc w:val="both"/>
        <w:rPr>
          <w:rFonts w:ascii="Calibri" w:eastAsia="Arial" w:hAnsi="Calibri" w:cs="Calibri"/>
          <w:lang w:val="ro-RO"/>
        </w:rPr>
      </w:pPr>
      <w:r w:rsidRPr="004B47F0">
        <w:rPr>
          <w:rFonts w:ascii="Calibri" w:eastAsia="Arial" w:hAnsi="Calibri" w:cs="Calibri"/>
          <w:lang w:val="ro-RO"/>
        </w:rPr>
        <w:t>În cadrul prezentului Contract, Condițiile Specifice aplicabile apelului de proiecte din cadrul PTJ  se completează, acolo unde este cazul, cu condițiile specifice Programului Tranziție Justă și respectiv cu Condițiile Generale, din prezentul contract.</w:t>
      </w:r>
    </w:p>
    <w:p w14:paraId="154DE1C6" w14:textId="55C1E408" w:rsidR="00047930" w:rsidRDefault="008F2C64" w:rsidP="004B47F0">
      <w:pPr>
        <w:pStyle w:val="ListParagraph"/>
        <w:numPr>
          <w:ilvl w:val="0"/>
          <w:numId w:val="84"/>
        </w:numPr>
        <w:jc w:val="both"/>
        <w:rPr>
          <w:rFonts w:ascii="Calibri" w:eastAsia="Arial" w:hAnsi="Calibri" w:cs="Calibri"/>
          <w:lang w:val="ro-RO"/>
        </w:rPr>
      </w:pPr>
      <w:r w:rsidRPr="00BB65C3">
        <w:rPr>
          <w:rFonts w:ascii="Calibri" w:eastAsia="Arial" w:hAnsi="Calibri" w:cs="Calibri"/>
          <w:lang w:val="ro-RO"/>
        </w:rPr>
        <w:t xml:space="preserve"> </w:t>
      </w:r>
      <w:r w:rsidR="00047930" w:rsidRPr="00BB65C3">
        <w:rPr>
          <w:rFonts w:ascii="Calibri" w:eastAsia="Arial" w:hAnsi="Calibri" w:cs="Calibri"/>
          <w:lang w:val="ro-RO"/>
        </w:rPr>
        <w:t>Din art. 24 - Condiții generale nu este aplicabilă  Anexa nr.</w:t>
      </w:r>
      <w:r w:rsidR="00BB65C3">
        <w:rPr>
          <w:rFonts w:ascii="Calibri" w:eastAsia="Arial" w:hAnsi="Calibri" w:cs="Calibri"/>
          <w:lang w:val="ro-RO"/>
        </w:rPr>
        <w:t>1</w:t>
      </w:r>
      <w:r w:rsidR="00047930" w:rsidRPr="00BB65C3">
        <w:rPr>
          <w:rFonts w:ascii="Calibri" w:eastAsia="Arial" w:hAnsi="Calibri" w:cs="Calibri"/>
          <w:lang w:val="ro-RO"/>
        </w:rPr>
        <w:t>4 – Acordul de parteneriat încheiat între Liderul de parteneriat și Parteneri.</w:t>
      </w:r>
    </w:p>
    <w:p w14:paraId="44483BC1" w14:textId="77777777" w:rsidR="008F2C64" w:rsidRPr="00047930" w:rsidRDefault="008F2C64" w:rsidP="00047930">
      <w:pPr>
        <w:spacing w:before="240" w:after="40"/>
        <w:jc w:val="both"/>
        <w:rPr>
          <w:rFonts w:ascii="Calibri" w:hAnsi="Calibri" w:cs="Calibri"/>
          <w:b/>
          <w:iCs/>
          <w:noProof/>
          <w:lang w:val="it-IT" w:eastAsia="sk-SK"/>
        </w:rPr>
      </w:pPr>
    </w:p>
    <w:p w14:paraId="03743638" w14:textId="53FA03B1" w:rsidR="00211BC2" w:rsidRPr="00047930" w:rsidRDefault="003F3883"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Dispoziții finale</w:t>
      </w:r>
    </w:p>
    <w:p w14:paraId="35F98C94" w14:textId="18588282" w:rsidR="00C61AF4" w:rsidRPr="00047930" w:rsidRDefault="00C61AF4" w:rsidP="00047930">
      <w:pPr>
        <w:jc w:val="both"/>
        <w:rPr>
          <w:rFonts w:ascii="Calibri" w:eastAsia="Arial" w:hAnsi="Calibri" w:cs="Calibri"/>
          <w:lang w:val="ro-RO"/>
        </w:rPr>
      </w:pPr>
      <w:r w:rsidRPr="00047930">
        <w:rPr>
          <w:rFonts w:ascii="Calibri" w:eastAsia="Arial" w:hAnsi="Calibri" w:cs="Calibri"/>
          <w:lang w:val="ro-RO"/>
        </w:rPr>
        <w:t xml:space="preserve">În cadrul prezentului Contract, prevalează Condițiile Specifice aplicabile apelului de proiecte din cadrul </w:t>
      </w:r>
      <w:r w:rsidR="008F60E4" w:rsidRPr="00047930">
        <w:rPr>
          <w:rFonts w:ascii="Calibri" w:eastAsia="Arial" w:hAnsi="Calibri" w:cs="Calibri"/>
          <w:lang w:val="ro-RO"/>
        </w:rPr>
        <w:t xml:space="preserve">Programului Tranziție Justă </w:t>
      </w:r>
      <w:r w:rsidRPr="00047930">
        <w:rPr>
          <w:rFonts w:ascii="Calibri" w:eastAsia="Arial" w:hAnsi="Calibri" w:cs="Calibri"/>
          <w:lang w:val="ro-RO"/>
        </w:rPr>
        <w:t>față de cele Generale, precum și față de cele specifice Programului  Tranziție Justă.</w:t>
      </w:r>
    </w:p>
    <w:p w14:paraId="2E5CC108" w14:textId="77777777" w:rsidR="008B6001" w:rsidRPr="00047930" w:rsidRDefault="008B6001" w:rsidP="00CE015A">
      <w:pPr>
        <w:tabs>
          <w:tab w:val="left" w:pos="450"/>
        </w:tabs>
        <w:ind w:right="75"/>
        <w:jc w:val="both"/>
        <w:rPr>
          <w:rFonts w:ascii="Calibri" w:eastAsia="Arial" w:hAnsi="Calibri" w:cs="Calibri"/>
          <w:b/>
          <w:spacing w:val="1"/>
          <w:lang w:val="it-IT"/>
        </w:rPr>
      </w:pPr>
    </w:p>
    <w:p w14:paraId="05C7B97D" w14:textId="77777777" w:rsidR="007D0345" w:rsidRPr="00047930" w:rsidRDefault="007D0345" w:rsidP="00CE015A">
      <w:pPr>
        <w:tabs>
          <w:tab w:val="left" w:pos="450"/>
        </w:tabs>
        <w:ind w:right="75"/>
        <w:jc w:val="both"/>
        <w:rPr>
          <w:rFonts w:ascii="Calibri" w:eastAsia="Arial" w:hAnsi="Calibri" w:cs="Calibri"/>
          <w:b/>
          <w:spacing w:val="1"/>
          <w:lang w:val="ro-RO"/>
        </w:rPr>
      </w:pPr>
    </w:p>
    <w:p w14:paraId="76B22347" w14:textId="6477EFCE" w:rsidR="00817456" w:rsidRPr="00047930" w:rsidRDefault="00817456"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Secțiunea II - Condiții specifice aplicabile </w:t>
      </w:r>
      <w:r w:rsidR="00C4747F" w:rsidRPr="00047930">
        <w:rPr>
          <w:rFonts w:ascii="Calibri" w:eastAsia="Arial" w:hAnsi="Calibri" w:cs="Calibri"/>
          <w:b/>
          <w:spacing w:val="1"/>
          <w:lang w:val="ro-RO"/>
        </w:rPr>
        <w:t xml:space="preserve">Apelului de proiecte </w:t>
      </w:r>
      <w:r w:rsidRPr="00047930">
        <w:rPr>
          <w:rFonts w:ascii="Calibri" w:eastAsia="Arial" w:hAnsi="Calibri" w:cs="Calibri"/>
          <w:b/>
          <w:spacing w:val="1"/>
          <w:lang w:val="ro-RO"/>
        </w:rPr>
        <w:t>”</w:t>
      </w:r>
      <w:r w:rsidR="0037377E" w:rsidRPr="00047930">
        <w:rPr>
          <w:rFonts w:ascii="Calibri" w:eastAsia="Arial" w:hAnsi="Calibri" w:cs="Calibri"/>
          <w:b/>
          <w:spacing w:val="1"/>
          <w:lang w:val="ro-RO"/>
        </w:rPr>
        <w:t>Dezvoltarea întreprinderilor și a antreprenoriatului</w:t>
      </w:r>
      <w:r w:rsidRPr="00047930">
        <w:rPr>
          <w:rFonts w:ascii="Calibri" w:eastAsia="Arial" w:hAnsi="Calibri" w:cs="Calibri"/>
          <w:b/>
          <w:spacing w:val="1"/>
          <w:lang w:val="ro-RO"/>
        </w:rPr>
        <w:t>”, Componenta ”Investiții pentru dezvoltarea IMM care sprijină creșterea durabilă și crearea de locuri de muncă ”</w:t>
      </w:r>
      <w:r w:rsidR="003965E3" w:rsidRPr="00047930">
        <w:rPr>
          <w:rFonts w:ascii="Calibri" w:eastAsia="Arial" w:hAnsi="Calibri" w:cs="Calibri"/>
          <w:b/>
          <w:spacing w:val="1"/>
          <w:lang w:val="ro-RO"/>
        </w:rPr>
        <w:t xml:space="preserve"> din cadrul</w:t>
      </w:r>
      <w:r w:rsidR="003965E3" w:rsidRPr="00047930">
        <w:rPr>
          <w:lang w:val="it-IT"/>
        </w:rPr>
        <w:t xml:space="preserve"> </w:t>
      </w:r>
      <w:r w:rsidR="003965E3" w:rsidRPr="00047930">
        <w:rPr>
          <w:rFonts w:ascii="Calibri" w:eastAsia="Arial" w:hAnsi="Calibri" w:cs="Calibri"/>
          <w:b/>
          <w:spacing w:val="1"/>
          <w:lang w:val="ro-RO"/>
        </w:rPr>
        <w:t xml:space="preserve">Programului  Tranziție Justă. </w:t>
      </w:r>
    </w:p>
    <w:p w14:paraId="4FC9BC35"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beneficiarului</w:t>
      </w:r>
    </w:p>
    <w:p w14:paraId="521C3E7A" w14:textId="68378E4C" w:rsidR="00286740" w:rsidRPr="00047930" w:rsidRDefault="00286740"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lastRenderedPageBreak/>
        <w:t xml:space="preserve">Până la finalizarea perioadei de durabilitate menționată la art 2, alin (5) din Condițiile generale Beneficiarul </w:t>
      </w:r>
      <w:r w:rsidR="006F6EA4" w:rsidRPr="00047930">
        <w:rPr>
          <w:rFonts w:ascii="Calibri" w:eastAsia="Arial" w:hAnsi="Calibri" w:cs="Calibri"/>
          <w:lang w:val="ro-RO"/>
        </w:rPr>
        <w:t xml:space="preserve">va </w:t>
      </w:r>
      <w:r w:rsidRPr="00047930">
        <w:rPr>
          <w:rFonts w:ascii="Calibri" w:eastAsia="Arial" w:hAnsi="Calibri" w:cs="Calibri"/>
          <w:lang w:val="ro-RO"/>
        </w:rPr>
        <w:t>păstra forma de organizare juridică eligibilă, sub sancțiunea rezilierii contractului și a recuperării integrale a finanțării acordate.</w:t>
      </w:r>
    </w:p>
    <w:p w14:paraId="5325D3C1" w14:textId="77777777" w:rsidR="00584BAE"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564F8506" w14:textId="3306B984" w:rsidR="005C1A1A" w:rsidRPr="00047930" w:rsidRDefault="005C1A1A" w:rsidP="00CE015A">
      <w:pPr>
        <w:ind w:left="118"/>
        <w:jc w:val="both"/>
        <w:rPr>
          <w:rFonts w:ascii="Calibri" w:eastAsia="Arial" w:hAnsi="Calibri" w:cs="Calibri"/>
          <w:lang w:val="ro-RO"/>
        </w:rPr>
      </w:pPr>
    </w:p>
    <w:p w14:paraId="77373632" w14:textId="037FF5C6" w:rsidR="004D11EC" w:rsidRPr="00047930" w:rsidRDefault="004D11EC" w:rsidP="00CE015A">
      <w:pPr>
        <w:pStyle w:val="ListParagraph"/>
        <w:numPr>
          <w:ilvl w:val="0"/>
          <w:numId w:val="46"/>
        </w:numPr>
        <w:ind w:left="478"/>
        <w:jc w:val="both"/>
        <w:rPr>
          <w:rFonts w:ascii="Calibri" w:hAnsi="Calibri" w:cs="Calibri"/>
          <w:lang w:val="it-IT"/>
        </w:rPr>
      </w:pPr>
      <w:r w:rsidRPr="00047930">
        <w:rPr>
          <w:rFonts w:ascii="Calibri" w:hAnsi="Calibri" w:cs="Calibri"/>
          <w:lang w:val="it-IT"/>
        </w:rPr>
        <w:t xml:space="preserve">Pe parcursul perioadei </w:t>
      </w:r>
      <w:r w:rsidR="00653D7B" w:rsidRPr="00047930">
        <w:rPr>
          <w:rFonts w:ascii="Calibri" w:hAnsi="Calibri" w:cs="Calibri"/>
          <w:lang w:val="it-IT"/>
        </w:rPr>
        <w:t xml:space="preserve">de </w:t>
      </w:r>
      <w:r w:rsidRPr="00047930">
        <w:rPr>
          <w:rFonts w:ascii="Calibri" w:hAnsi="Calibri" w:cs="Calibri"/>
          <w:lang w:val="it-IT"/>
        </w:rPr>
        <w:t xml:space="preserve">implementare a proiectului si/sau pe perioada asigurarii caracterului durabil al investitiei, acolo unde este cazul, in cazul în care </w:t>
      </w:r>
      <w:r w:rsidR="0097328C" w:rsidRPr="00047930">
        <w:rPr>
          <w:rFonts w:ascii="Calibri" w:hAnsi="Calibri" w:cs="Calibri"/>
          <w:lang w:val="it-IT"/>
        </w:rPr>
        <w:t xml:space="preserve">beneficiarul </w:t>
      </w:r>
      <w:r w:rsidRPr="00047930">
        <w:rPr>
          <w:rFonts w:ascii="Calibri" w:hAnsi="Calibri" w:cs="Calibri"/>
          <w:lang w:val="it-IT"/>
        </w:rPr>
        <w:t>(la nivel de grup) a beneficiat de ajutor de stat regional pentru o investiție demarată în același județ, în ultimii trei ani, se consideră că aceste investiții fac parte dintr-un proiect unic de investiții</w:t>
      </w:r>
      <w:r w:rsidR="0097328C" w:rsidRPr="00047930">
        <w:rPr>
          <w:rFonts w:ascii="Calibri" w:hAnsi="Calibri" w:cs="Calibri"/>
          <w:lang w:val="it-IT"/>
        </w:rPr>
        <w:t xml:space="preserve"> si</w:t>
      </w:r>
      <w:r w:rsidR="0091723F" w:rsidRPr="00047930">
        <w:rPr>
          <w:rFonts w:ascii="Calibri" w:hAnsi="Calibri" w:cs="Calibri"/>
          <w:lang w:val="it-IT"/>
        </w:rPr>
        <w:t xml:space="preserve"> a</w:t>
      </w:r>
      <w:r w:rsidR="0097328C" w:rsidRPr="00047930">
        <w:rPr>
          <w:rFonts w:ascii="Calibri" w:hAnsi="Calibri" w:cs="Calibri"/>
          <w:lang w:val="it-IT"/>
        </w:rPr>
        <w:t>re obligația sa notifice situația către AM/OI i</w:t>
      </w:r>
      <w:r w:rsidR="0091723F" w:rsidRPr="00047930">
        <w:rPr>
          <w:rFonts w:ascii="Calibri" w:hAnsi="Calibri" w:cs="Calibri"/>
          <w:lang w:val="it-IT"/>
        </w:rPr>
        <w:t>n termen de maxim 5 zile lucrăt</w:t>
      </w:r>
      <w:r w:rsidR="0097328C" w:rsidRPr="00047930">
        <w:rPr>
          <w:rFonts w:ascii="Calibri" w:hAnsi="Calibri" w:cs="Calibri"/>
          <w:lang w:val="it-IT"/>
        </w:rPr>
        <w:t>o</w:t>
      </w:r>
      <w:r w:rsidR="0091723F" w:rsidRPr="00047930">
        <w:rPr>
          <w:rFonts w:ascii="Calibri" w:hAnsi="Calibri" w:cs="Calibri"/>
          <w:lang w:val="it-IT"/>
        </w:rPr>
        <w:t>a</w:t>
      </w:r>
      <w:r w:rsidR="0097328C" w:rsidRPr="00047930">
        <w:rPr>
          <w:rFonts w:ascii="Calibri" w:hAnsi="Calibri" w:cs="Calibri"/>
          <w:lang w:val="it-IT"/>
        </w:rPr>
        <w:t>re de la data acordării ajutorului care conduce la crearea situației respective.</w:t>
      </w:r>
      <w:r w:rsidRPr="00047930">
        <w:rPr>
          <w:rFonts w:ascii="Calibri" w:hAnsi="Calibri" w:cs="Calibri"/>
          <w:lang w:val="it-IT"/>
        </w:rPr>
        <w:t xml:space="preserve"> În cazul în care un astfel de proiect unic de investiții este un proiect mare de investiții, valoarea totală a ajutoarelor pentru proiectul unic de investiții nu trebuie să depășească valoarea ajutorului ajustat pentru proiecte mari de investiții.</w:t>
      </w:r>
    </w:p>
    <w:p w14:paraId="32002CC6" w14:textId="77777777" w:rsidR="00F73530" w:rsidRPr="00BB65C3" w:rsidRDefault="00817456" w:rsidP="00CE015A">
      <w:pPr>
        <w:pStyle w:val="ListParagraph"/>
        <w:numPr>
          <w:ilvl w:val="0"/>
          <w:numId w:val="46"/>
        </w:numPr>
        <w:ind w:left="478"/>
        <w:jc w:val="both"/>
        <w:rPr>
          <w:rFonts w:ascii="Calibri" w:eastAsia="Arial" w:hAnsi="Calibri" w:cs="Calibri"/>
          <w:lang w:val="ro-RO"/>
        </w:rPr>
      </w:pPr>
      <w:r w:rsidRPr="00BB65C3">
        <w:rPr>
          <w:rFonts w:ascii="Calibri" w:eastAsia="Arial" w:hAnsi="Calibri" w:cs="Calibri"/>
          <w:lang w:val="ro-RO"/>
        </w:rPr>
        <w:t>Beneficiarul se obligă ca, până la finalizarea implementării proiectului, să înregistreze fiscal locul de implementare a proiectului și a echipamentelor în zona vizată de apel, în conformitate cu prevederile legale aplicabile.</w:t>
      </w:r>
    </w:p>
    <w:p w14:paraId="3ECEDDC3" w14:textId="77777777" w:rsidR="00F64D3E" w:rsidRPr="00047930" w:rsidRDefault="00817456" w:rsidP="00CE015A">
      <w:pPr>
        <w:pStyle w:val="ListParagraph"/>
        <w:numPr>
          <w:ilvl w:val="0"/>
          <w:numId w:val="46"/>
        </w:numPr>
        <w:ind w:left="478"/>
        <w:jc w:val="both"/>
        <w:rPr>
          <w:rFonts w:ascii="Calibri" w:eastAsia="Arial" w:hAnsi="Calibri" w:cs="Calibri"/>
          <w:lang w:val="ro-RO"/>
        </w:rPr>
      </w:pPr>
      <w:r w:rsidRPr="00BB65C3">
        <w:rPr>
          <w:rFonts w:ascii="Calibri" w:eastAsia="Arial" w:hAnsi="Calibri" w:cs="Calibri"/>
          <w:lang w:val="ro-RO"/>
        </w:rPr>
        <w:t>Beneficiarul</w:t>
      </w:r>
      <w:r w:rsidRPr="00047930">
        <w:rPr>
          <w:rFonts w:ascii="Calibri" w:eastAsia="Arial" w:hAnsi="Calibri" w:cs="Calibri"/>
          <w:lang w:val="ro-RO"/>
        </w:rPr>
        <w:t xml:space="preserve"> se obligă să mențină investiția inițială propusă prin proiect, în zona vizată de apel pe toată perioadă de implementare și durabilitate stipulată în contractul de finanțare</w:t>
      </w:r>
      <w:r w:rsidR="0097328C" w:rsidRPr="00047930">
        <w:rPr>
          <w:rFonts w:ascii="Calibri" w:eastAsia="Arial" w:hAnsi="Calibri" w:cs="Calibri"/>
          <w:lang w:val="ro-RO"/>
        </w:rPr>
        <w:t xml:space="preserve"> si, acolo unde este cazul să demonstreze pe perioada de durabilitate</w:t>
      </w:r>
      <w:r w:rsidR="00F73530" w:rsidRPr="00047930">
        <w:rPr>
          <w:rFonts w:ascii="Calibri" w:eastAsia="Arial" w:hAnsi="Calibri" w:cs="Calibri"/>
          <w:lang w:val="ro-RO"/>
        </w:rPr>
        <w:t xml:space="preserve"> ca e</w:t>
      </w:r>
      <w:r w:rsidR="00F73530" w:rsidRPr="00047930">
        <w:rPr>
          <w:rFonts w:ascii="Calibri" w:hAnsi="Calibri" w:cs="Calibri"/>
          <w:lang w:val="it-IT"/>
        </w:rPr>
        <w:t>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16B6FA11" w14:textId="1DD5648F"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notifice AM </w:t>
      </w:r>
      <w:r w:rsidR="00FC6374" w:rsidRPr="00047930">
        <w:rPr>
          <w:rFonts w:ascii="Calibri" w:eastAsia="Arial" w:hAnsi="Calibri" w:cs="Calibri"/>
          <w:lang w:val="ro-RO"/>
        </w:rPr>
        <w:t xml:space="preserve">emiterea certificatului de înregistrare în scopuri de TVA, dacă este cazul, </w:t>
      </w:r>
      <w:r w:rsidRPr="00047930">
        <w:rPr>
          <w:rFonts w:ascii="Calibri" w:eastAsia="Arial" w:hAnsi="Calibri" w:cs="Calibri"/>
          <w:lang w:val="ro-RO"/>
        </w:rPr>
        <w:t>pe perioada de implementare a activităților proiectului în termen de 5 zile lucrătoare de la</w:t>
      </w:r>
      <w:r w:rsidR="00FC6374" w:rsidRPr="00047930">
        <w:rPr>
          <w:rFonts w:ascii="Calibri" w:eastAsia="Arial" w:hAnsi="Calibri" w:cs="Calibri"/>
          <w:lang w:val="ro-RO"/>
        </w:rPr>
        <w:t xml:space="preserve"> emiterea acestuia.</w:t>
      </w:r>
      <w:r w:rsidRPr="00047930">
        <w:rPr>
          <w:rFonts w:ascii="Calibri" w:eastAsia="Arial" w:hAnsi="Calibri" w:cs="Calibri"/>
          <w:lang w:val="ro-RO"/>
        </w:rPr>
        <w:t xml:space="preserve"> </w:t>
      </w:r>
    </w:p>
    <w:p w14:paraId="04A42104" w14:textId="14F98707"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Perioada de implementare a </w:t>
      </w:r>
      <w:r w:rsidR="00F724C4">
        <w:rPr>
          <w:rFonts w:ascii="Calibri" w:eastAsia="Arial" w:hAnsi="Calibri" w:cs="Calibri"/>
          <w:lang w:val="ro-RO"/>
        </w:rPr>
        <w:t>proiectului</w:t>
      </w:r>
      <w:r w:rsidRPr="00047930">
        <w:rPr>
          <w:rFonts w:ascii="Calibri" w:eastAsia="Arial" w:hAnsi="Calibri" w:cs="Calibri"/>
          <w:lang w:val="ro-RO"/>
        </w:rPr>
        <w:t xml:space="preserve"> poate fi extinsă</w:t>
      </w:r>
      <w:r w:rsidR="00AC5DAB" w:rsidRPr="00047930">
        <w:rPr>
          <w:rFonts w:ascii="Calibri" w:eastAsia="Arial" w:hAnsi="Calibri" w:cs="Calibri"/>
          <w:lang w:val="ro-RO"/>
        </w:rPr>
        <w:t xml:space="preserve"> cu maxim 12 luni</w:t>
      </w:r>
      <w:r w:rsidRPr="00047930">
        <w:rPr>
          <w:rFonts w:ascii="Calibri" w:eastAsia="Arial" w:hAnsi="Calibri" w:cs="Calibri"/>
          <w:lang w:val="ro-RO"/>
        </w:rPr>
        <w:t>, în conformitate cu Condițiile generale și specifice, dar nu mai târziu de 31 decembrie 2029.</w:t>
      </w:r>
    </w:p>
    <w:p w14:paraId="6C8D5FAE" w14:textId="7282F9E0"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Dacă, oricând în perioada de durabilitate a proiectului prevăzută la art 2, alin. (5) din Condiții Generale, se constată că încadrarea valorii finanțării nerambursabile solicitate în plafonul de </w:t>
      </w:r>
      <w:r w:rsidR="004135EB">
        <w:rPr>
          <w:rFonts w:ascii="Calibri" w:eastAsia="Arial" w:hAnsi="Calibri" w:cs="Calibri"/>
          <w:lang w:val="ro-RO"/>
        </w:rPr>
        <w:t>ajutor de stat/</w:t>
      </w:r>
      <w:r w:rsidRPr="00047930">
        <w:rPr>
          <w:rFonts w:ascii="Calibri" w:eastAsia="Arial" w:hAnsi="Calibri" w:cs="Calibri"/>
          <w:lang w:val="ro-RO"/>
        </w:rPr>
        <w:t>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63CA7CE0" w14:textId="77777777" w:rsidR="00846AEB" w:rsidRDefault="006C3A9E" w:rsidP="00846AEB">
      <w:pPr>
        <w:pStyle w:val="ListParagraph"/>
        <w:numPr>
          <w:ilvl w:val="0"/>
          <w:numId w:val="46"/>
        </w:numPr>
        <w:ind w:left="478"/>
        <w:jc w:val="both"/>
        <w:rPr>
          <w:rFonts w:ascii="Calibri" w:eastAsia="Arial" w:hAnsi="Calibri" w:cs="Calibri"/>
          <w:lang w:val="ro-RO"/>
        </w:rPr>
      </w:pPr>
      <w:r w:rsidRPr="00846AEB">
        <w:rPr>
          <w:rFonts w:ascii="Calibri" w:eastAsia="Arial" w:hAnsi="Calibri" w:cs="Calibri"/>
          <w:lang w:val="ro-RO"/>
        </w:rPr>
        <w:t>În completarea art.</w:t>
      </w:r>
      <w:r w:rsidR="00D57EC3" w:rsidRPr="00846AEB">
        <w:rPr>
          <w:rFonts w:ascii="Calibri" w:eastAsia="Arial" w:hAnsi="Calibri" w:cs="Calibri"/>
          <w:lang w:val="ro-RO"/>
        </w:rPr>
        <w:t>9</w:t>
      </w:r>
      <w:r w:rsidRPr="00846AEB">
        <w:rPr>
          <w:rFonts w:ascii="Calibri" w:eastAsia="Arial" w:hAnsi="Calibri" w:cs="Calibri"/>
          <w:lang w:val="ro-RO"/>
        </w:rPr>
        <w:t>, alin. (</w:t>
      </w:r>
      <w:r w:rsidR="00AC5DAB" w:rsidRPr="00846AEB">
        <w:rPr>
          <w:rFonts w:ascii="Calibri" w:eastAsia="Arial" w:hAnsi="Calibri" w:cs="Calibri"/>
          <w:lang w:val="ro-RO"/>
        </w:rPr>
        <w:t>14</w:t>
      </w:r>
      <w:r w:rsidRPr="00846AEB">
        <w:rPr>
          <w:rFonts w:ascii="Calibri" w:eastAsia="Arial" w:hAnsi="Calibri" w:cs="Calibri"/>
          <w:lang w:val="ro-RO"/>
        </w:rPr>
        <w:t>) din Condiții Specifice</w:t>
      </w:r>
      <w:r w:rsidR="00091874" w:rsidRPr="00846AEB">
        <w:rPr>
          <w:rFonts w:ascii="Calibri" w:eastAsia="Arial" w:hAnsi="Calibri" w:cs="Calibri"/>
          <w:lang w:val="ro-RO"/>
        </w:rPr>
        <w:t>, Secțiunea I,</w:t>
      </w:r>
      <w:r w:rsidRPr="00846AEB">
        <w:rPr>
          <w:rFonts w:ascii="Calibri" w:eastAsia="Arial" w:hAnsi="Calibri" w:cs="Calibri"/>
          <w:lang w:val="ro-RO"/>
        </w:rPr>
        <w:t xml:space="preserve"> </w:t>
      </w:r>
      <w:r w:rsidR="00817456" w:rsidRPr="00846AEB">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4D96534" w14:textId="1414248A" w:rsidR="00924167" w:rsidRPr="00846AEB" w:rsidRDefault="00924167" w:rsidP="00846AEB">
      <w:pPr>
        <w:pStyle w:val="ListParagraph"/>
        <w:numPr>
          <w:ilvl w:val="0"/>
          <w:numId w:val="46"/>
        </w:numPr>
        <w:ind w:left="478"/>
        <w:jc w:val="both"/>
        <w:rPr>
          <w:rFonts w:ascii="Calibri" w:eastAsia="Arial" w:hAnsi="Calibri" w:cs="Calibri"/>
          <w:lang w:val="ro-RO"/>
        </w:rPr>
      </w:pPr>
      <w:r w:rsidRPr="00846AEB">
        <w:rPr>
          <w:rFonts w:ascii="Calibri" w:eastAsia="Arial" w:hAnsi="Calibri" w:cs="Calibri"/>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30C342A" w14:textId="488C27BB" w:rsidR="00924167" w:rsidRPr="00846AEB" w:rsidRDefault="00924167" w:rsidP="00846AEB">
      <w:pPr>
        <w:pStyle w:val="ListParagraph"/>
        <w:numPr>
          <w:ilvl w:val="0"/>
          <w:numId w:val="46"/>
        </w:numPr>
        <w:ind w:left="478"/>
        <w:jc w:val="both"/>
        <w:rPr>
          <w:rFonts w:ascii="Calibri" w:eastAsia="Arial" w:hAnsi="Calibri" w:cs="Calibri"/>
          <w:lang w:val="ro-RO"/>
        </w:rPr>
      </w:pPr>
      <w:r w:rsidRPr="00846AEB">
        <w:rPr>
          <w:rFonts w:ascii="Calibri" w:eastAsia="Arial" w:hAnsi="Calibri" w:cs="Calibri"/>
          <w:lang w:val="ro-RO"/>
        </w:rPr>
        <w:t>Ulterior semnării contractului de finanțare pentru proiectele de investiții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181A9CAF" w14:textId="6811D336" w:rsidR="00924167" w:rsidRDefault="00924167" w:rsidP="00846AEB">
      <w:pPr>
        <w:pStyle w:val="ListParagraph"/>
        <w:numPr>
          <w:ilvl w:val="0"/>
          <w:numId w:val="46"/>
        </w:numPr>
        <w:ind w:left="478"/>
        <w:jc w:val="both"/>
        <w:rPr>
          <w:rFonts w:ascii="Calibri" w:eastAsia="Arial" w:hAnsi="Calibri" w:cs="Calibri"/>
          <w:lang w:val="ro-RO"/>
        </w:rPr>
      </w:pPr>
      <w:r w:rsidRPr="00846AEB">
        <w:rPr>
          <w:rFonts w:ascii="Calibri" w:eastAsia="Arial" w:hAnsi="Calibri" w:cs="Calibri"/>
          <w:lang w:val="ro-RO"/>
        </w:rPr>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 putând invoca rezoluțiunea contractului, în mod unilateral, fără alte formalități și cu recuperarea finanțării nerambursabile acordate, în condițiile prevăzute de prezentul contract de finanțare.</w:t>
      </w:r>
    </w:p>
    <w:p w14:paraId="0CAE4E48" w14:textId="77777777" w:rsidR="00B75465" w:rsidRDefault="00B75465" w:rsidP="00B75465">
      <w:pPr>
        <w:jc w:val="both"/>
        <w:rPr>
          <w:rFonts w:ascii="Calibri" w:eastAsia="Arial" w:hAnsi="Calibri" w:cs="Calibri"/>
          <w:lang w:val="ro-RO"/>
        </w:rPr>
      </w:pPr>
    </w:p>
    <w:p w14:paraId="79F3F38C" w14:textId="77777777" w:rsidR="00B75465" w:rsidRDefault="00B75465" w:rsidP="00B75465">
      <w:pPr>
        <w:jc w:val="both"/>
        <w:rPr>
          <w:rFonts w:ascii="Calibri" w:eastAsia="Arial" w:hAnsi="Calibri" w:cs="Calibri"/>
          <w:lang w:val="ro-RO"/>
        </w:rPr>
      </w:pPr>
    </w:p>
    <w:p w14:paraId="28835E2E" w14:textId="77777777" w:rsidR="00B75465" w:rsidRPr="00B75465" w:rsidRDefault="00B75465" w:rsidP="00B75465">
      <w:pPr>
        <w:jc w:val="both"/>
        <w:rPr>
          <w:rFonts w:ascii="Calibri" w:eastAsia="Arial" w:hAnsi="Calibri" w:cs="Calibri"/>
          <w:lang w:val="ro-RO"/>
        </w:rPr>
      </w:pPr>
    </w:p>
    <w:p w14:paraId="1D976AB8" w14:textId="77777777" w:rsidR="00924167" w:rsidRPr="00047930" w:rsidRDefault="00924167" w:rsidP="00846AEB">
      <w:pPr>
        <w:pStyle w:val="ListParagraph"/>
        <w:ind w:left="0"/>
        <w:jc w:val="both"/>
        <w:rPr>
          <w:rFonts w:ascii="Calibri" w:eastAsia="Arial" w:hAnsi="Calibri" w:cs="Calibri"/>
          <w:lang w:val="ro-RO"/>
        </w:rPr>
      </w:pPr>
    </w:p>
    <w:p w14:paraId="47972AF6"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ale beneficiarului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0D6BB316"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4FB435F9" w14:textId="4539176D" w:rsidR="00013D97" w:rsidRPr="00CB56EB" w:rsidRDefault="00924167" w:rsidP="00CE015A">
      <w:pPr>
        <w:ind w:left="502"/>
        <w:jc w:val="both"/>
        <w:rPr>
          <w:rFonts w:ascii="Calibri" w:hAnsi="Calibri" w:cs="Calibri"/>
          <w:lang w:val="ro-RO"/>
        </w:rPr>
      </w:pPr>
      <w:r w:rsidRPr="00924167">
        <w:rPr>
          <w:rFonts w:ascii="Calibri" w:hAnsi="Calibri" w:cs="Calibri"/>
          <w:lang w:val="ro-RO"/>
        </w:rPr>
        <w:t>(2) 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280151E2" w14:textId="77777777" w:rsidR="00047930" w:rsidRPr="00CB56EB" w:rsidRDefault="00047930" w:rsidP="00CE015A">
      <w:pPr>
        <w:ind w:left="502"/>
        <w:jc w:val="both"/>
        <w:rPr>
          <w:rFonts w:ascii="Calibri" w:hAnsi="Calibri" w:cs="Calibri"/>
          <w:lang w:val="ro-RO"/>
        </w:rPr>
      </w:pPr>
    </w:p>
    <w:p w14:paraId="4D45836E" w14:textId="76F419AC" w:rsidR="00013D97" w:rsidRPr="00047930" w:rsidRDefault="00013D97" w:rsidP="00CE015A">
      <w:pPr>
        <w:pStyle w:val="Articol"/>
        <w:numPr>
          <w:ilvl w:val="0"/>
          <w:numId w:val="43"/>
        </w:numPr>
        <w:rPr>
          <w:rFonts w:ascii="Calibri" w:hAnsi="Calibri" w:cs="Calibri"/>
          <w:szCs w:val="20"/>
        </w:rPr>
      </w:pPr>
      <w:r w:rsidRPr="00047930">
        <w:rPr>
          <w:rFonts w:ascii="Calibri" w:hAnsi="Calibri" w:cs="Calibri"/>
          <w:szCs w:val="20"/>
        </w:rPr>
        <w:t>Regulile mecanismului de recuperare pentru neindeplinire indicatori</w:t>
      </w:r>
      <w:r w:rsidR="00032CD2" w:rsidRPr="00047930">
        <w:rPr>
          <w:rFonts w:ascii="Calibri" w:hAnsi="Calibri" w:cs="Calibri"/>
          <w:szCs w:val="20"/>
        </w:rPr>
        <w:t xml:space="preserve"> de rezultat </w:t>
      </w:r>
    </w:p>
    <w:p w14:paraId="61729184" w14:textId="79CD78E3" w:rsidR="001E26F5" w:rsidRPr="00BB65C3" w:rsidRDefault="001E26F5" w:rsidP="00BB65C3">
      <w:pPr>
        <w:pStyle w:val="ListParagraph"/>
        <w:numPr>
          <w:ilvl w:val="1"/>
          <w:numId w:val="78"/>
        </w:numPr>
        <w:rPr>
          <w:rFonts w:ascii="Calibri" w:hAnsi="Calibri" w:cs="Calibri"/>
          <w:lang w:val="ro-RO"/>
        </w:rPr>
      </w:pPr>
      <w:r w:rsidRPr="001E26F5">
        <w:rPr>
          <w:rFonts w:ascii="Calibri" w:hAnsi="Calibri" w:cs="Calibri"/>
          <w:lang w:val="ro-RO"/>
        </w:rPr>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2134D8E" w14:textId="77777777" w:rsidR="001E26F5" w:rsidRDefault="001E26F5" w:rsidP="001E26F5">
      <w:pPr>
        <w:pStyle w:val="Head2-Alin"/>
        <w:tabs>
          <w:tab w:val="clear" w:pos="502"/>
          <w:tab w:val="right" w:pos="9000"/>
        </w:tabs>
        <w:spacing w:before="0" w:after="0"/>
        <w:ind w:firstLine="0"/>
        <w:rPr>
          <w:rFonts w:ascii="Calibri" w:hAnsi="Calibri" w:cs="Calibri"/>
          <w:szCs w:val="20"/>
          <w:highlight w:val="yellow"/>
        </w:rPr>
      </w:pPr>
    </w:p>
    <w:p w14:paraId="481EBBEF" w14:textId="0D70C845" w:rsidR="00584BAE" w:rsidRPr="00BB65C3" w:rsidRDefault="00013D97" w:rsidP="00BB65C3">
      <w:pPr>
        <w:pStyle w:val="Head2-Alin"/>
        <w:numPr>
          <w:ilvl w:val="1"/>
          <w:numId w:val="78"/>
        </w:numPr>
        <w:tabs>
          <w:tab w:val="right" w:pos="9000"/>
        </w:tabs>
        <w:spacing w:before="0" w:after="0"/>
        <w:rPr>
          <w:rFonts w:ascii="Calibri" w:hAnsi="Calibri" w:cs="Calibri"/>
          <w:szCs w:val="20"/>
        </w:rPr>
      </w:pPr>
      <w:r w:rsidRPr="00BB65C3">
        <w:rPr>
          <w:rFonts w:ascii="Calibri" w:hAnsi="Calibri" w:cs="Calibri"/>
          <w:szCs w:val="20"/>
        </w:rPr>
        <w:t xml:space="preserve">Neîndeplinirea țintelor asumate </w:t>
      </w:r>
      <w:r w:rsidR="00BD1102" w:rsidRPr="00BB65C3">
        <w:rPr>
          <w:rFonts w:ascii="Calibri" w:hAnsi="Calibri" w:cs="Calibri"/>
          <w:szCs w:val="20"/>
        </w:rPr>
        <w:t xml:space="preserve">prin </w:t>
      </w:r>
      <w:r w:rsidRPr="00BB65C3">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E97DB86" w14:textId="2E5D2915" w:rsidR="00032CD2" w:rsidRPr="00BB65C3" w:rsidRDefault="00032CD2" w:rsidP="00BB65C3">
      <w:pPr>
        <w:pStyle w:val="Head2-Alin"/>
        <w:tabs>
          <w:tab w:val="clear" w:pos="502"/>
          <w:tab w:val="right" w:pos="9000"/>
        </w:tabs>
        <w:spacing w:before="0" w:after="0"/>
        <w:rPr>
          <w:rFonts w:ascii="Calibri" w:hAnsi="Calibri" w:cs="Calibri"/>
          <w:szCs w:val="20"/>
        </w:rPr>
      </w:pPr>
    </w:p>
    <w:p w14:paraId="6C311EB7" w14:textId="65936FCF" w:rsidR="00242332" w:rsidRPr="00242332" w:rsidRDefault="00032CD2" w:rsidP="006D19AC">
      <w:pPr>
        <w:pStyle w:val="Head2-Alin"/>
        <w:numPr>
          <w:ilvl w:val="1"/>
          <w:numId w:val="78"/>
        </w:numPr>
        <w:tabs>
          <w:tab w:val="right" w:pos="9000"/>
        </w:tabs>
        <w:spacing w:before="0" w:after="0"/>
        <w:rPr>
          <w:rFonts w:ascii="Calibri" w:hAnsi="Calibri" w:cs="Calibri"/>
          <w:szCs w:val="20"/>
        </w:rPr>
      </w:pPr>
      <w:r w:rsidRPr="00242332">
        <w:rPr>
          <w:rFonts w:ascii="Calibri" w:hAnsi="Calibri" w:cs="Calibri"/>
          <w:szCs w:val="20"/>
        </w:rPr>
        <w:t>Neînde</w:t>
      </w:r>
      <w:r w:rsidR="00DA7101" w:rsidRPr="00242332">
        <w:rPr>
          <w:rFonts w:ascii="Calibri" w:hAnsi="Calibri" w:cs="Calibri"/>
          <w:szCs w:val="20"/>
        </w:rPr>
        <w:t>p</w:t>
      </w:r>
      <w:r w:rsidRPr="00242332">
        <w:rPr>
          <w:rFonts w:ascii="Calibri" w:hAnsi="Calibri" w:cs="Calibri"/>
          <w:szCs w:val="20"/>
        </w:rPr>
        <w:t xml:space="preserve">linirea </w:t>
      </w:r>
      <w:r w:rsidR="001E26F5" w:rsidRPr="00242332">
        <w:rPr>
          <w:rFonts w:ascii="Calibri" w:hAnsi="Calibri" w:cs="Calibri"/>
          <w:szCs w:val="20"/>
        </w:rPr>
        <w:t>indicatorilor</w:t>
      </w:r>
      <w:r w:rsidRPr="00242332">
        <w:rPr>
          <w:rFonts w:ascii="Calibri" w:hAnsi="Calibri" w:cs="Calibri"/>
          <w:szCs w:val="20"/>
        </w:rPr>
        <w:t xml:space="preserve"> pentru care beneficiarul s-a angajat prin cererea de finanțare și pentru </w:t>
      </w:r>
      <w:r w:rsidR="00DA7101" w:rsidRPr="00242332">
        <w:rPr>
          <w:rFonts w:ascii="Calibri" w:hAnsi="Calibri" w:cs="Calibri"/>
          <w:szCs w:val="20"/>
        </w:rPr>
        <w:t xml:space="preserve">care </w:t>
      </w:r>
      <w:r w:rsidRPr="00242332">
        <w:rPr>
          <w:rFonts w:ascii="Calibri" w:hAnsi="Calibri" w:cs="Calibri"/>
          <w:szCs w:val="20"/>
        </w:rPr>
        <w:t>a obținut punctaje suplimentare în cadrul procesului de evaluare a proiectului conduce la recuperarea proporțională a finanțării nerambursabile acordate</w:t>
      </w:r>
      <w:r w:rsidR="00242332" w:rsidRPr="00242332">
        <w:rPr>
          <w:rFonts w:ascii="Calibri" w:hAnsi="Calibri" w:cs="Calibri"/>
          <w:szCs w:val="20"/>
        </w:rPr>
        <w:t>.</w:t>
      </w:r>
      <w:r w:rsidR="00242332" w:rsidRPr="00242332">
        <w:t xml:space="preserve"> </w:t>
      </w:r>
      <w:r w:rsidR="00242332" w:rsidRPr="00242332">
        <w:rPr>
          <w:rFonts w:ascii="Calibri" w:hAnsi="Calibri" w:cs="Calibri"/>
          <w:szCs w:val="20"/>
        </w:rPr>
        <w:t>În situația în care proiectul nu mai obține punctajul minim pentru a putea fi finanțat, proiectul este considerat ne-eligibil iar finanțarea nerambursabilă acordată este recuperată.</w:t>
      </w:r>
    </w:p>
    <w:p w14:paraId="7E77024D" w14:textId="7678BB81" w:rsidR="00A15DD5" w:rsidRPr="00BB65C3" w:rsidRDefault="00A15DD5" w:rsidP="00242332">
      <w:pPr>
        <w:pStyle w:val="Head2-Alin"/>
        <w:tabs>
          <w:tab w:val="clear" w:pos="502"/>
          <w:tab w:val="right" w:pos="9000"/>
        </w:tabs>
        <w:spacing w:before="0" w:after="0"/>
        <w:ind w:left="142" w:firstLine="0"/>
        <w:rPr>
          <w:rFonts w:ascii="Calibri" w:hAnsi="Calibri" w:cs="Calibri"/>
          <w:szCs w:val="20"/>
        </w:rPr>
      </w:pPr>
    </w:p>
    <w:p w14:paraId="4CC754C7" w14:textId="116E877F" w:rsidR="001F734E" w:rsidRPr="00047930" w:rsidRDefault="0053126D" w:rsidP="00CE015A">
      <w:pPr>
        <w:pStyle w:val="Articol"/>
        <w:numPr>
          <w:ilvl w:val="0"/>
          <w:numId w:val="43"/>
        </w:numPr>
        <w:rPr>
          <w:rFonts w:ascii="Calibri" w:hAnsi="Calibri" w:cs="Calibri"/>
          <w:szCs w:val="20"/>
        </w:rPr>
      </w:pPr>
      <w:r w:rsidRPr="00047930">
        <w:rPr>
          <w:rFonts w:ascii="Calibri" w:hAnsi="Calibri" w:cs="Calibri"/>
          <w:szCs w:val="20"/>
        </w:rPr>
        <w:t>Dispoziții finale</w:t>
      </w:r>
    </w:p>
    <w:p w14:paraId="4638DF1B" w14:textId="484BDC35" w:rsidR="00B125CA" w:rsidRPr="00047930" w:rsidRDefault="00B125CA" w:rsidP="00CE015A">
      <w:pPr>
        <w:pStyle w:val="ListParagraph"/>
        <w:ind w:left="478"/>
        <w:jc w:val="both"/>
        <w:rPr>
          <w:rFonts w:ascii="Calibri" w:eastAsia="Arial" w:hAnsi="Calibri" w:cs="Calibri"/>
          <w:lang w:val="ro-RO"/>
        </w:rPr>
      </w:pPr>
      <w:r w:rsidRPr="00047930">
        <w:rPr>
          <w:rFonts w:ascii="Calibri" w:eastAsia="Arial" w:hAnsi="Calibri" w:cs="Calibri"/>
          <w:lang w:val="ro-RO"/>
        </w:rPr>
        <w:t xml:space="preserve">Din Secțiunea </w:t>
      </w:r>
      <w:r w:rsidR="00E52664" w:rsidRPr="00047930">
        <w:rPr>
          <w:rFonts w:ascii="Calibri" w:eastAsia="Arial" w:hAnsi="Calibri" w:cs="Calibri"/>
          <w:lang w:val="ro-RO"/>
        </w:rPr>
        <w:t>IV</w:t>
      </w:r>
      <w:r w:rsidRPr="00047930">
        <w:rPr>
          <w:rFonts w:ascii="Calibri" w:eastAsia="Arial" w:hAnsi="Calibri" w:cs="Calibri"/>
          <w:lang w:val="ro-RO"/>
        </w:rPr>
        <w:t xml:space="preserve">– Monitorizarea și raportarea, </w:t>
      </w:r>
      <w:r w:rsidR="00E52664" w:rsidRPr="00047930">
        <w:rPr>
          <w:rFonts w:ascii="Calibri" w:eastAsia="Arial" w:hAnsi="Calibri" w:cs="Calibri"/>
          <w:lang w:val="ro-RO"/>
        </w:rPr>
        <w:t xml:space="preserve">alin.  </w:t>
      </w:r>
      <w:r w:rsidRPr="00047930">
        <w:rPr>
          <w:rFonts w:ascii="Calibri" w:eastAsia="Arial" w:hAnsi="Calibri" w:cs="Calibri"/>
          <w:lang w:val="ro-RO"/>
        </w:rPr>
        <w:t>(3) nu se aplică.</w:t>
      </w: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7C35AA88"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II - Acordarea și recuperarea prefinanțării, Condiții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64B87074" w:rsidR="001A0037" w:rsidRPr="00047930" w:rsidRDefault="001A0037" w:rsidP="00CE015A">
      <w:pPr>
        <w:spacing w:before="60"/>
        <w:ind w:left="133" w:right="2999"/>
        <w:jc w:val="both"/>
        <w:rPr>
          <w:rFonts w:ascii="Calibri" w:eastAsia="Arial" w:hAnsi="Calibri" w:cs="Calibri"/>
          <w:b/>
          <w:bCs/>
          <w:lang w:val="ro-RO"/>
        </w:rPr>
      </w:pPr>
      <w:r w:rsidRPr="00047930">
        <w:rPr>
          <w:rFonts w:ascii="Calibri" w:eastAsia="Arial" w:hAnsi="Calibri" w:cs="Calibri"/>
          <w:b/>
          <w:bCs/>
          <w:lang w:val="ro-RO"/>
        </w:rPr>
        <w:t>Art</w:t>
      </w:r>
      <w:r w:rsidR="00C014A2" w:rsidRPr="00047930">
        <w:rPr>
          <w:rFonts w:ascii="Calibri" w:eastAsia="Arial" w:hAnsi="Calibri" w:cs="Calibri"/>
          <w:b/>
          <w:bCs/>
          <w:lang w:val="ro-RO"/>
        </w:rPr>
        <w:t xml:space="preserve">icolul </w:t>
      </w:r>
      <w:r w:rsidRPr="00047930">
        <w:rPr>
          <w:rFonts w:ascii="Calibri" w:eastAsia="Arial" w:hAnsi="Calibri" w:cs="Calibri"/>
          <w:b/>
          <w:bCs/>
          <w:lang w:val="ro-RO"/>
        </w:rPr>
        <w:t xml:space="preserve"> </w:t>
      </w:r>
      <w:r w:rsidR="00B86A47" w:rsidRPr="00047930">
        <w:rPr>
          <w:rFonts w:ascii="Calibri" w:eastAsia="Arial" w:hAnsi="Calibri" w:cs="Calibri"/>
          <w:b/>
          <w:bCs/>
          <w:lang w:val="ro-RO"/>
        </w:rPr>
        <w:t xml:space="preserve">18 </w:t>
      </w:r>
      <w:r w:rsidRPr="00047930">
        <w:rPr>
          <w:rFonts w:ascii="Calibri" w:eastAsia="Arial" w:hAnsi="Calibri" w:cs="Calibri"/>
          <w:b/>
          <w:bCs/>
          <w:lang w:val="ro-RO"/>
        </w:rPr>
        <w:t>Rambursarea / plata cheltuielilor</w:t>
      </w:r>
    </w:p>
    <w:p w14:paraId="64A59669" w14:textId="223ABF7D" w:rsidR="001A0037" w:rsidRPr="00047930" w:rsidRDefault="001A0037" w:rsidP="00CE015A">
      <w:pPr>
        <w:spacing w:before="60"/>
        <w:ind w:left="133" w:right="265"/>
        <w:jc w:val="both"/>
        <w:rPr>
          <w:rFonts w:ascii="Calibri" w:eastAsia="Arial" w:hAnsi="Calibri" w:cs="Calibri"/>
          <w:lang w:val="ro-RO"/>
        </w:rPr>
      </w:pPr>
      <w:r w:rsidRPr="00047930">
        <w:rPr>
          <w:rFonts w:ascii="Calibri" w:eastAsia="Arial" w:hAnsi="Calibri" w:cs="Calibri"/>
          <w:lang w:val="ro-RO"/>
        </w:rPr>
        <w:t>(1) In completarea prevederilor art. 5 si 6 din Contractul de finanțare – condiții generale vor fi luate în considerare următoarele prevederi:</w:t>
      </w:r>
    </w:p>
    <w:p w14:paraId="3F88272A" w14:textId="77777777" w:rsidR="001A0037" w:rsidRPr="00047930" w:rsidRDefault="001A0037" w:rsidP="00CE015A">
      <w:pPr>
        <w:spacing w:before="60"/>
        <w:ind w:right="265"/>
        <w:jc w:val="both"/>
        <w:rPr>
          <w:rFonts w:ascii="Calibri" w:eastAsia="Arial" w:hAnsi="Calibri" w:cs="Calibri"/>
          <w:b/>
          <w:bCs/>
          <w:lang w:val="ro-RO"/>
        </w:rPr>
      </w:pPr>
      <w:r w:rsidRPr="00047930" w:rsidDel="0010301F">
        <w:rPr>
          <w:rFonts w:ascii="Calibri" w:eastAsia="Arial" w:hAnsi="Calibri" w:cs="Calibri"/>
          <w:b/>
          <w:bCs/>
          <w:lang w:val="ro-RO"/>
        </w:rPr>
        <w:t xml:space="preserve"> </w:t>
      </w:r>
      <w:r w:rsidRPr="00047930">
        <w:rPr>
          <w:rFonts w:ascii="Calibri" w:eastAsia="Arial" w:hAnsi="Calibri" w:cs="Calibri"/>
          <w:b/>
          <w:bCs/>
          <w:lang w:val="ro-RO"/>
        </w:rPr>
        <w:t>(a) Acordarea și recuperarea prefinanțării, dacă este cazul</w:t>
      </w:r>
    </w:p>
    <w:p w14:paraId="7BC72DFB" w14:textId="7182B777"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w:t>
      </w:r>
      <w:bookmarkStart w:id="5" w:name="_Hlk207808898"/>
      <w:r w:rsidRPr="00047930">
        <w:rPr>
          <w:rFonts w:ascii="Calibri" w:eastAsia="Arial" w:hAnsi="Calibri" w:cs="Calibri"/>
          <w:lang w:val="ro-RO"/>
        </w:rPr>
        <w:t>OUG nr. 133/2021</w:t>
      </w:r>
      <w:bookmarkEnd w:id="5"/>
      <w:r w:rsidRPr="00047930">
        <w:rPr>
          <w:rFonts w:ascii="Calibri" w:eastAsia="Arial" w:hAnsi="Calibri" w:cs="Calibri"/>
          <w:lang w:val="ro-RO"/>
        </w:rPr>
        <w:t xml:space="preserve">,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w:t>
      </w:r>
      <w:r w:rsidR="00A1743A" w:rsidRPr="00242332">
        <w:rPr>
          <w:rFonts w:ascii="Calibri" w:eastAsia="Arial" w:hAnsi="Calibri" w:cs="Calibri"/>
          <w:lang w:val="ro-RO"/>
        </w:rPr>
        <w:t xml:space="preserve">maximum </w:t>
      </w:r>
      <w:r w:rsidR="008F2C64" w:rsidRPr="00242332">
        <w:rPr>
          <w:rFonts w:ascii="Calibri" w:eastAsia="Arial" w:hAnsi="Calibri" w:cs="Calibri"/>
          <w:lang w:val="ro-RO"/>
        </w:rPr>
        <w:t>3</w:t>
      </w:r>
      <w:r w:rsidR="00A1743A" w:rsidRPr="00242332">
        <w:rPr>
          <w:rFonts w:ascii="Calibri" w:eastAsia="Arial" w:hAnsi="Calibri" w:cs="Calibri"/>
          <w:lang w:val="ro-RO"/>
        </w:rPr>
        <w:t>0% din</w:t>
      </w:r>
      <w:r w:rsidR="00A1743A" w:rsidRPr="00047930">
        <w:rPr>
          <w:rFonts w:ascii="Calibri" w:eastAsia="Arial" w:hAnsi="Calibri" w:cs="Calibri"/>
          <w:lang w:val="ro-RO"/>
        </w:rPr>
        <w:t xml:space="preserve"> valoarea eligibilă a contractului de finanțare, fără depășirea valorii totale eligibile a acestuia. </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 xml:space="preserve">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w:t>
      </w:r>
      <w:r w:rsidRPr="00047930">
        <w:rPr>
          <w:rFonts w:ascii="Calibri" w:eastAsia="Arial" w:hAnsi="Calibri" w:cs="Calibri"/>
          <w:lang w:val="ro-RO"/>
        </w:rPr>
        <w:lastRenderedPageBreak/>
        <w:t>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w:t>
      </w:r>
      <w:r w:rsidRPr="00047930">
        <w:rPr>
          <w:rFonts w:ascii="Calibri" w:eastAsia="Arial" w:hAnsi="Calibri" w:cs="Calibri"/>
          <w:lang w:val="ro-RO"/>
        </w:rPr>
        <w:lastRenderedPageBreak/>
        <w:t>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4A098851" w14:textId="03176CA0"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(27) </w:t>
      </w:r>
      <w:r w:rsidR="00531660" w:rsidRPr="00531660">
        <w:rPr>
          <w:rFonts w:ascii="Calibri" w:eastAsia="Arial" w:hAnsi="Calibri" w:cs="Calibri"/>
          <w:lang w:val="ro-RO"/>
        </w:rPr>
        <w:t>Prefinanţarea acordată și rămasă neutilizată la finele exerciţiului bugetar, se utilizează de către Beneficiar în anul următor cu aceeaşi destinaţie.</w:t>
      </w:r>
      <w:r w:rsidRPr="00047930">
        <w:rPr>
          <w:rFonts w:ascii="Calibri" w:eastAsia="Arial" w:hAnsi="Calibri" w:cs="Calibri"/>
          <w:lang w:val="ro-RO"/>
        </w:rPr>
        <w:t>.</w:t>
      </w: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 xml:space="preserve">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w:t>
      </w:r>
      <w:r w:rsidRPr="00047930">
        <w:rPr>
          <w:rFonts w:ascii="Calibri" w:eastAsia="Arial" w:hAnsi="Calibri" w:cs="Calibri"/>
          <w:lang w:val="ro-RO"/>
        </w:rPr>
        <w:lastRenderedPageBreak/>
        <w:t>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lastRenderedPageBreak/>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Pr="00047930"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783ABAE" w14:textId="77777777" w:rsidR="00656CFE" w:rsidRPr="00242332" w:rsidRDefault="00656CFE" w:rsidP="00CE015A">
      <w:pPr>
        <w:spacing w:before="60"/>
        <w:ind w:left="133" w:right="403"/>
        <w:jc w:val="both"/>
        <w:rPr>
          <w:rFonts w:ascii="Calibri" w:eastAsia="Arial" w:hAnsi="Calibri" w:cs="Calibri"/>
          <w:b/>
          <w:lang w:val="ro-RO"/>
        </w:rPr>
      </w:pPr>
      <w:r w:rsidRPr="00242332">
        <w:rPr>
          <w:rFonts w:ascii="Calibri" w:eastAsia="Trebuchet MS" w:hAnsi="Calibri" w:cs="Calibri"/>
          <w:b/>
          <w:lang w:val="ro-RO"/>
        </w:rPr>
        <w:t>(</w:t>
      </w:r>
      <w:r w:rsidRPr="00242332">
        <w:rPr>
          <w:rFonts w:ascii="Calibri" w:eastAsia="Arial" w:hAnsi="Calibri" w:cs="Calibri"/>
          <w:b/>
          <w:lang w:val="ro-RO"/>
        </w:rPr>
        <w:t>e) Graficul de depunere a cererilor de prefinanțare/plată/rambursare a cheltuielilor</w:t>
      </w:r>
    </w:p>
    <w:p w14:paraId="315DEC5B" w14:textId="6C62468A" w:rsidR="00656CFE" w:rsidRPr="00242332" w:rsidRDefault="00656CFE" w:rsidP="00CE015A">
      <w:pPr>
        <w:spacing w:before="60"/>
        <w:ind w:left="471" w:right="105" w:hanging="338"/>
        <w:jc w:val="both"/>
        <w:rPr>
          <w:rFonts w:ascii="Calibri" w:eastAsia="Arial" w:hAnsi="Calibri" w:cs="Calibri"/>
          <w:lang w:val="ro-RO"/>
        </w:rPr>
      </w:pPr>
      <w:r w:rsidRPr="00242332">
        <w:rPr>
          <w:rFonts w:ascii="Calibri" w:eastAsia="Arial" w:hAnsi="Calibri" w:cs="Calibri"/>
          <w:lang w:val="ro-RO"/>
        </w:rPr>
        <w:t xml:space="preserve">(1) Graficul de depunere a cererilor de prefinanțare/plată/rambursare a cheltuielilor este parte integrantă  a Cererii de finanțare - Anexa </w:t>
      </w:r>
      <w:r w:rsidR="00242332" w:rsidRPr="00242332">
        <w:rPr>
          <w:rFonts w:ascii="Calibri" w:eastAsia="Arial" w:hAnsi="Calibri" w:cs="Calibri"/>
          <w:lang w:val="ro-RO"/>
        </w:rPr>
        <w:t>4</w:t>
      </w:r>
      <w:r w:rsidRPr="00242332">
        <w:rPr>
          <w:rFonts w:ascii="Calibri" w:eastAsia="Arial" w:hAnsi="Calibri" w:cs="Calibri"/>
          <w:lang w:val="ro-RO"/>
        </w:rPr>
        <w:t xml:space="preserve">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242332">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242332">
        <w:rPr>
          <w:rFonts w:ascii="Calibri" w:eastAsia="Arial" w:hAnsi="Calibri" w:cs="Calibri"/>
          <w:lang w:val="ro-RO"/>
        </w:rPr>
        <w:t>prevăzute de prezentul</w:t>
      </w:r>
      <w:r w:rsidRPr="00242332">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19A639AA" w14:textId="211CA383" w:rsidR="00635FDB" w:rsidRPr="00CB56EB" w:rsidRDefault="009A0BE1" w:rsidP="00635FDB">
      <w:pPr>
        <w:tabs>
          <w:tab w:val="left" w:pos="450"/>
        </w:tabs>
        <w:ind w:right="75"/>
        <w:jc w:val="both"/>
        <w:rPr>
          <w:rFonts w:ascii="Calibri" w:eastAsia="Arial" w:hAnsi="Calibri" w:cs="Calibri"/>
          <w:b/>
          <w:bCs/>
          <w:spacing w:val="1"/>
          <w:lang w:val="it-IT"/>
        </w:rPr>
      </w:pPr>
      <w:r w:rsidRPr="00047930">
        <w:rPr>
          <w:rFonts w:ascii="Calibri" w:eastAsia="Arial" w:hAnsi="Calibri" w:cs="Calibri"/>
          <w:b/>
          <w:spacing w:val="1"/>
          <w:lang w:val="ro-RO"/>
        </w:rPr>
        <w:t>Secțiunea IV</w:t>
      </w:r>
      <w:r w:rsidR="004530BB" w:rsidRPr="00047930">
        <w:rPr>
          <w:rFonts w:ascii="Calibri" w:eastAsia="Arial" w:hAnsi="Calibri" w:cs="Calibri"/>
          <w:b/>
          <w:spacing w:val="1"/>
          <w:lang w:val="ro-RO"/>
        </w:rPr>
        <w:t xml:space="preserve"> – </w:t>
      </w:r>
      <w:r w:rsidR="00635FDB" w:rsidRPr="00CB56EB">
        <w:rPr>
          <w:rFonts w:ascii="Calibri" w:eastAsia="Arial" w:hAnsi="Calibri" w:cs="Calibri"/>
          <w:b/>
          <w:bCs/>
          <w:spacing w:val="1"/>
          <w:lang w:val="it-IT"/>
        </w:rPr>
        <w:t>Monitorizarea și raportarea</w:t>
      </w:r>
    </w:p>
    <w:p w14:paraId="18FEDD71" w14:textId="77777777" w:rsidR="00635FDB" w:rsidRPr="00CB56EB" w:rsidRDefault="00635FDB" w:rsidP="00635FDB">
      <w:pPr>
        <w:tabs>
          <w:tab w:val="left" w:pos="450"/>
        </w:tabs>
        <w:ind w:right="75"/>
        <w:jc w:val="both"/>
        <w:rPr>
          <w:rFonts w:ascii="Calibri" w:eastAsia="Arial" w:hAnsi="Calibri" w:cs="Calibri"/>
          <w:b/>
          <w:bCs/>
          <w:spacing w:val="1"/>
          <w:lang w:val="it-IT"/>
        </w:rPr>
      </w:pPr>
    </w:p>
    <w:p w14:paraId="0481F1C0" w14:textId="7B9932A1"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Art. 19 Monitorizarea/raportarea implementării proiectelor</w:t>
      </w:r>
    </w:p>
    <w:p w14:paraId="082400FC"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(1)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84679CB"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a) suspendarea totală/parțială a autorizării/plății sumelor asociate cererilor de plată/rambursare după caz, atât a celor aflate în curs de procesare la nivelul AM/OI cât și a celor viitoare;</w:t>
      </w:r>
    </w:p>
    <w:p w14:paraId="72BB4E10"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b) efectuarea de vizite la fața locului și solicitarea de raportări/justificări suplimentare legate de înregistrarea decalajelor respectiv, cu posibilitatea aplicării inclusiv a măsurii de la lit. a);</w:t>
      </w:r>
    </w:p>
    <w:p w14:paraId="16AEBC8B"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c) rezilierea contractului de finanțare și recuperarea sumelor plătite, inclusiv a dobânzilor și penalităților asociate, în conformitate cu prevederile prezentului contract.</w:t>
      </w:r>
    </w:p>
    <w:p w14:paraId="4883D65F"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(2) 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4C3C4FF"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(3) În completarea dispozițiilor art. 13 alin. (11) litera f) din Contractul de finanțare – Condiții generale vor fi luate în considerare următoarele prevederi:</w:t>
      </w:r>
    </w:p>
    <w:p w14:paraId="65690CE1"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a) în situația nerealizării, la termen, a indicatorilor de etapă, AM adoptă și implementează, în funcție de riscurile identificate, acțiuni și măsuri de monitorizare consolidată, după cum urmează:</w:t>
      </w:r>
    </w:p>
    <w:p w14:paraId="0A1FEDF5"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lastRenderedPageBreak/>
        <w:t xml:space="preserve"> i) va fi notificat beneficiarul și i se va solicita de către AM, transmiterea documentelor justificative/dovedirea cauzelor obiective pentru nerealizarea la termen a indicatorilor de etapă, în termen de 5 zile lucrătoare de la primirea notificării.</w:t>
      </w:r>
    </w:p>
    <w:p w14:paraId="05F877CB"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28186B88" w14:textId="77777777" w:rsidR="00635FDB" w:rsidRPr="00B75465" w:rsidRDefault="00635FDB" w:rsidP="00B75465">
      <w:pPr>
        <w:spacing w:before="60"/>
        <w:ind w:left="338" w:right="105" w:hanging="338"/>
        <w:jc w:val="both"/>
        <w:rPr>
          <w:rFonts w:ascii="Calibri" w:eastAsia="Arial" w:hAnsi="Calibri" w:cs="Calibri"/>
          <w:lang w:val="ro-RO"/>
        </w:rPr>
      </w:pPr>
      <w:r w:rsidRPr="00B75465">
        <w:rPr>
          <w:rFonts w:ascii="Calibri" w:eastAsia="Arial" w:hAnsi="Calibri" w:cs="Calibri"/>
          <w:lang w:val="ro-RO"/>
        </w:rPr>
        <w:t>(4) Măsurile prevăzute specificate la art. 13 alin. (11) literele (a) - (e) din Contractul de finanțare – Condiții generale pot fi aplicate de catre AM /OI în mod gradual.</w:t>
      </w:r>
    </w:p>
    <w:p w14:paraId="4BE21081" w14:textId="77777777" w:rsidR="00635FDB" w:rsidRPr="00B75465" w:rsidRDefault="00635FDB" w:rsidP="00B75465">
      <w:pPr>
        <w:spacing w:before="60"/>
        <w:ind w:left="338" w:right="105" w:hanging="338"/>
        <w:jc w:val="both"/>
        <w:rPr>
          <w:rFonts w:ascii="Calibri" w:eastAsia="Arial" w:hAnsi="Calibri" w:cs="Calibri"/>
          <w:lang w:val="ro-RO"/>
        </w:rPr>
      </w:pPr>
    </w:p>
    <w:p w14:paraId="3AA0055F" w14:textId="77777777" w:rsidR="00635FDB" w:rsidRPr="00CB56EB" w:rsidRDefault="00635FDB" w:rsidP="00635FDB">
      <w:pPr>
        <w:tabs>
          <w:tab w:val="left" w:pos="450"/>
        </w:tabs>
        <w:ind w:right="75"/>
        <w:jc w:val="both"/>
        <w:rPr>
          <w:rFonts w:ascii="Calibri" w:eastAsia="Arial" w:hAnsi="Calibri" w:cs="Calibri"/>
          <w:b/>
          <w:bCs/>
          <w:spacing w:val="1"/>
          <w:lang w:val="it-IT"/>
        </w:rPr>
      </w:pPr>
      <w:r w:rsidRPr="00CB56EB">
        <w:rPr>
          <w:rFonts w:ascii="Calibri" w:eastAsia="Arial" w:hAnsi="Calibri" w:cs="Calibri"/>
          <w:b/>
          <w:bCs/>
          <w:spacing w:val="1"/>
          <w:lang w:val="it-IT"/>
        </w:rPr>
        <w:t>Secțiunea V Activități și cerințe minime obligatorii de vizibilitate, transparență și Comunicare</w:t>
      </w:r>
    </w:p>
    <w:p w14:paraId="27FAE58E" w14:textId="77777777" w:rsidR="00635FDB" w:rsidRPr="00CB56EB" w:rsidRDefault="00635FDB" w:rsidP="00635FDB">
      <w:pPr>
        <w:tabs>
          <w:tab w:val="left" w:pos="450"/>
        </w:tabs>
        <w:ind w:right="75"/>
        <w:jc w:val="both"/>
        <w:rPr>
          <w:rFonts w:ascii="Calibri" w:eastAsia="Arial" w:hAnsi="Calibri" w:cs="Calibri"/>
          <w:b/>
          <w:bCs/>
          <w:spacing w:val="1"/>
          <w:lang w:val="it-IT"/>
        </w:rPr>
      </w:pPr>
    </w:p>
    <w:p w14:paraId="5F453C78" w14:textId="1BD42BC6"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Art. 20 Reguli de comunicare și vizibilitate</w:t>
      </w:r>
    </w:p>
    <w:p w14:paraId="7E2DB729"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3AD88B7E"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206C3452"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721FF591"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4F1CBC54"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C71B7B6"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1A188BF"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(7) Se va realiza un panou permanent/placă permanentă pentru proiectele finanțate din FTJ a căror valoare totală depășește 500.000 euro.</w:t>
      </w:r>
    </w:p>
    <w:p w14:paraId="3D07FA1A"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61294CE"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(9) În cazul proiectelor în cadrul cărora se achiziționează mașini unelte (echipament industrial)/utilaje (inclusiv agricole)/mijloace de transport de orice fel se vor aplica autocolante/plăcuțe.</w:t>
      </w:r>
    </w:p>
    <w:p w14:paraId="41E3891D"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10FF520"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A nu se confunda secțiunea dedicată unui proiect într-o pagină web existentă a beneficiarului, cu site-ul realizat în întregime în cadrul unui proiect finanțat din fonduri europene.</w:t>
      </w:r>
    </w:p>
    <w:p w14:paraId="6C3BB36D"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nr.13 la ghidul solicitantului.</w:t>
      </w:r>
    </w:p>
    <w:p w14:paraId="495F3E87"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(12) Beneficiarii au obligația de a transmite către OI PTJ, spre avizare, toate machetele materialelor de comunicare si publicitate ce se vor elabora în cadrul proiectului.</w:t>
      </w:r>
    </w:p>
    <w:p w14:paraId="65EEAA77"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lastRenderedPageBreak/>
        <w:t>(13) Pentru a ilustra evoluția proiectului, se va realiza un portofoliu de fotografii pe parcursul desfășurării acestuia.</w:t>
      </w:r>
    </w:p>
    <w:p w14:paraId="100E86E0"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(14) Beneficiarii au obligația să pună la dispoziția AM și CE, la cerere, date și informații despre proiecte și stadiul lor de implementare, inclusiv fotografii, în vederea probării și asigurării transparenței utilizării fondurilor.</w:t>
      </w:r>
    </w:p>
    <w:p w14:paraId="18590B94"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2B1DFC31" w14:textId="77777777" w:rsidR="00635FDB" w:rsidRPr="00B75465" w:rsidRDefault="00635FDB" w:rsidP="00635FDB">
      <w:pPr>
        <w:tabs>
          <w:tab w:val="left" w:pos="450"/>
        </w:tabs>
        <w:ind w:right="75"/>
        <w:jc w:val="both"/>
        <w:rPr>
          <w:rFonts w:ascii="Calibri" w:eastAsia="Arial" w:hAnsi="Calibri" w:cs="Calibri"/>
          <w:lang w:val="ro-RO"/>
        </w:rPr>
      </w:pPr>
      <w:r w:rsidRPr="00B75465">
        <w:rPr>
          <w:rFonts w:ascii="Calibri" w:eastAsia="Arial" w:hAnsi="Calibri" w:cs="Calibri"/>
          <w:lang w:val="ro-RO"/>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p w14:paraId="3860ABF5" w14:textId="77777777" w:rsidR="00635FDB" w:rsidRPr="00B75465" w:rsidRDefault="00635FDB" w:rsidP="00635FDB">
      <w:pPr>
        <w:tabs>
          <w:tab w:val="left" w:pos="450"/>
        </w:tabs>
        <w:ind w:right="75"/>
        <w:jc w:val="both"/>
        <w:rPr>
          <w:rFonts w:ascii="Calibri" w:eastAsia="Arial" w:hAnsi="Calibri" w:cs="Calibri"/>
          <w:lang w:val="ro-RO"/>
        </w:rPr>
      </w:pPr>
    </w:p>
    <w:p w14:paraId="03B82B1F" w14:textId="77777777" w:rsidR="002E333B" w:rsidRPr="009B5FA1" w:rsidRDefault="002E333B" w:rsidP="00CE015A">
      <w:pPr>
        <w:pStyle w:val="ListParagraph"/>
        <w:ind w:left="478"/>
        <w:jc w:val="both"/>
        <w:rPr>
          <w:rFonts w:ascii="Calibri" w:eastAsia="Arial" w:hAnsi="Calibri" w:cs="Calibri"/>
          <w:lang w:val="ro-RO"/>
        </w:rPr>
      </w:pPr>
    </w:p>
    <w:p w14:paraId="4F1A2432" w14:textId="18261812" w:rsidR="00357D0F" w:rsidRPr="009B5FA1" w:rsidRDefault="00357D0F" w:rsidP="00047930">
      <w:pPr>
        <w:pStyle w:val="ListParagraph"/>
        <w:ind w:left="478"/>
        <w:jc w:val="both"/>
        <w:rPr>
          <w:rFonts w:ascii="Calibri" w:eastAsia="Arial" w:hAnsi="Calibri" w:cs="Calibri"/>
          <w:lang w:val="ro-RO"/>
        </w:rPr>
      </w:pPr>
    </w:p>
    <w:sectPr w:rsidR="00357D0F" w:rsidRPr="009B5FA1" w:rsidSect="00817456">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2DCF3" w14:textId="77777777" w:rsidR="00F1470F" w:rsidRDefault="00F1470F">
      <w:r>
        <w:separator/>
      </w:r>
    </w:p>
  </w:endnote>
  <w:endnote w:type="continuationSeparator" w:id="0">
    <w:p w14:paraId="53BE834D" w14:textId="77777777" w:rsidR="00F1470F" w:rsidRDefault="00F1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47CC" w14:textId="77777777" w:rsidR="00F1470F" w:rsidRDefault="00F1470F">
      <w:r>
        <w:separator/>
      </w:r>
    </w:p>
  </w:footnote>
  <w:footnote w:type="continuationSeparator" w:id="0">
    <w:p w14:paraId="4610E13F" w14:textId="77777777" w:rsidR="00F1470F" w:rsidRDefault="00F14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DA06EB9"/>
    <w:multiLevelType w:val="hybridMultilevel"/>
    <w:tmpl w:val="F064BCCC"/>
    <w:lvl w:ilvl="0" w:tplc="8E74A1FE">
      <w:start w:val="1"/>
      <w:numFmt w:val="decimal"/>
      <w:lvlText w:val="%1."/>
      <w:lvlJc w:val="left"/>
      <w:pPr>
        <w:ind w:left="478" w:hanging="360"/>
      </w:pPr>
      <w:rPr>
        <w:rFonts w:hint="default"/>
      </w:rPr>
    </w:lvl>
    <w:lvl w:ilvl="1" w:tplc="04090019" w:tentative="1">
      <w:start w:val="1"/>
      <w:numFmt w:val="lowerLetter"/>
      <w:lvlText w:val="%2."/>
      <w:lvlJc w:val="left"/>
      <w:pPr>
        <w:ind w:left="631" w:hanging="360"/>
      </w:pPr>
    </w:lvl>
    <w:lvl w:ilvl="2" w:tplc="0409001B" w:tentative="1">
      <w:start w:val="1"/>
      <w:numFmt w:val="lowerRoman"/>
      <w:lvlText w:val="%3."/>
      <w:lvlJc w:val="right"/>
      <w:pPr>
        <w:ind w:left="1351" w:hanging="180"/>
      </w:pPr>
    </w:lvl>
    <w:lvl w:ilvl="3" w:tplc="0409000F" w:tentative="1">
      <w:start w:val="1"/>
      <w:numFmt w:val="decimal"/>
      <w:lvlText w:val="%4."/>
      <w:lvlJc w:val="left"/>
      <w:pPr>
        <w:ind w:left="2071" w:hanging="360"/>
      </w:pPr>
    </w:lvl>
    <w:lvl w:ilvl="4" w:tplc="04090019" w:tentative="1">
      <w:start w:val="1"/>
      <w:numFmt w:val="lowerLetter"/>
      <w:lvlText w:val="%5."/>
      <w:lvlJc w:val="left"/>
      <w:pPr>
        <w:ind w:left="2791" w:hanging="360"/>
      </w:pPr>
    </w:lvl>
    <w:lvl w:ilvl="5" w:tplc="0409001B" w:tentative="1">
      <w:start w:val="1"/>
      <w:numFmt w:val="lowerRoman"/>
      <w:lvlText w:val="%6."/>
      <w:lvlJc w:val="right"/>
      <w:pPr>
        <w:ind w:left="3511" w:hanging="180"/>
      </w:pPr>
    </w:lvl>
    <w:lvl w:ilvl="6" w:tplc="0409000F" w:tentative="1">
      <w:start w:val="1"/>
      <w:numFmt w:val="decimal"/>
      <w:lvlText w:val="%7."/>
      <w:lvlJc w:val="left"/>
      <w:pPr>
        <w:ind w:left="4231" w:hanging="360"/>
      </w:pPr>
    </w:lvl>
    <w:lvl w:ilvl="7" w:tplc="04090019" w:tentative="1">
      <w:start w:val="1"/>
      <w:numFmt w:val="lowerLetter"/>
      <w:lvlText w:val="%8."/>
      <w:lvlJc w:val="left"/>
      <w:pPr>
        <w:ind w:left="4951" w:hanging="360"/>
      </w:pPr>
    </w:lvl>
    <w:lvl w:ilvl="8" w:tplc="0409001B" w:tentative="1">
      <w:start w:val="1"/>
      <w:numFmt w:val="lowerRoman"/>
      <w:lvlText w:val="%9."/>
      <w:lvlJc w:val="right"/>
      <w:pPr>
        <w:ind w:left="5671" w:hanging="180"/>
      </w:pPr>
    </w:lvl>
  </w:abstractNum>
  <w:abstractNum w:abstractNumId="10" w15:restartNumberingAfterBreak="0">
    <w:nsid w:val="0E0B688C"/>
    <w:multiLevelType w:val="hybridMultilevel"/>
    <w:tmpl w:val="3780A0F8"/>
    <w:lvl w:ilvl="0" w:tplc="8AB25E18">
      <w:start w:val="1"/>
      <w:numFmt w:val="decimal"/>
      <w:lvlText w:val="(%1)"/>
      <w:lvlJc w:val="left"/>
      <w:pPr>
        <w:ind w:left="478" w:hanging="360"/>
      </w:pPr>
      <w:rPr>
        <w:rFonts w:hint="default"/>
      </w:rPr>
    </w:lvl>
    <w:lvl w:ilvl="1" w:tplc="FFFFFFFF" w:tentative="1">
      <w:start w:val="1"/>
      <w:numFmt w:val="lowerLetter"/>
      <w:lvlText w:val="%2."/>
      <w:lvlJc w:val="left"/>
      <w:pPr>
        <w:ind w:left="631" w:hanging="360"/>
      </w:pPr>
    </w:lvl>
    <w:lvl w:ilvl="2" w:tplc="FFFFFFFF" w:tentative="1">
      <w:start w:val="1"/>
      <w:numFmt w:val="lowerRoman"/>
      <w:lvlText w:val="%3."/>
      <w:lvlJc w:val="right"/>
      <w:pPr>
        <w:ind w:left="1351" w:hanging="180"/>
      </w:pPr>
    </w:lvl>
    <w:lvl w:ilvl="3" w:tplc="FFFFFFFF" w:tentative="1">
      <w:start w:val="1"/>
      <w:numFmt w:val="decimal"/>
      <w:lvlText w:val="%4."/>
      <w:lvlJc w:val="left"/>
      <w:pPr>
        <w:ind w:left="2071" w:hanging="360"/>
      </w:pPr>
    </w:lvl>
    <w:lvl w:ilvl="4" w:tplc="FFFFFFFF" w:tentative="1">
      <w:start w:val="1"/>
      <w:numFmt w:val="lowerLetter"/>
      <w:lvlText w:val="%5."/>
      <w:lvlJc w:val="left"/>
      <w:pPr>
        <w:ind w:left="2791" w:hanging="360"/>
      </w:pPr>
    </w:lvl>
    <w:lvl w:ilvl="5" w:tplc="FFFFFFFF" w:tentative="1">
      <w:start w:val="1"/>
      <w:numFmt w:val="lowerRoman"/>
      <w:lvlText w:val="%6."/>
      <w:lvlJc w:val="right"/>
      <w:pPr>
        <w:ind w:left="3511" w:hanging="180"/>
      </w:pPr>
    </w:lvl>
    <w:lvl w:ilvl="6" w:tplc="FFFFFFFF" w:tentative="1">
      <w:start w:val="1"/>
      <w:numFmt w:val="decimal"/>
      <w:lvlText w:val="%7."/>
      <w:lvlJc w:val="left"/>
      <w:pPr>
        <w:ind w:left="4231" w:hanging="360"/>
      </w:pPr>
    </w:lvl>
    <w:lvl w:ilvl="7" w:tplc="FFFFFFFF" w:tentative="1">
      <w:start w:val="1"/>
      <w:numFmt w:val="lowerLetter"/>
      <w:lvlText w:val="%8."/>
      <w:lvlJc w:val="left"/>
      <w:pPr>
        <w:ind w:left="4951" w:hanging="360"/>
      </w:pPr>
    </w:lvl>
    <w:lvl w:ilvl="8" w:tplc="FFFFFFFF" w:tentative="1">
      <w:start w:val="1"/>
      <w:numFmt w:val="lowerRoman"/>
      <w:lvlText w:val="%9."/>
      <w:lvlJc w:val="right"/>
      <w:pPr>
        <w:ind w:left="5671" w:hanging="180"/>
      </w:pPr>
    </w:lvl>
  </w:abstractNum>
  <w:abstractNum w:abstractNumId="11"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2"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8"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9"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4"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6"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7"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2"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4"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6"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9"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5"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60"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3"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B2B2A35"/>
    <w:multiLevelType w:val="hybridMultilevel"/>
    <w:tmpl w:val="8BC81DD8"/>
    <w:lvl w:ilvl="0" w:tplc="8AB25E18">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1"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5"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6"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7"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41"/>
  </w:num>
  <w:num w:numId="2" w16cid:durableId="1610307858">
    <w:abstractNumId w:val="70"/>
  </w:num>
  <w:num w:numId="3" w16cid:durableId="590940220">
    <w:abstractNumId w:val="47"/>
  </w:num>
  <w:num w:numId="4" w16cid:durableId="934365773">
    <w:abstractNumId w:val="57"/>
  </w:num>
  <w:num w:numId="5" w16cid:durableId="682972057">
    <w:abstractNumId w:val="61"/>
  </w:num>
  <w:num w:numId="6" w16cid:durableId="109014359">
    <w:abstractNumId w:val="56"/>
  </w:num>
  <w:num w:numId="7" w16cid:durableId="1772818032">
    <w:abstractNumId w:val="15"/>
  </w:num>
  <w:num w:numId="8" w16cid:durableId="251548160">
    <w:abstractNumId w:val="26"/>
  </w:num>
  <w:num w:numId="9" w16cid:durableId="2069448287">
    <w:abstractNumId w:val="3"/>
  </w:num>
  <w:num w:numId="10" w16cid:durableId="1027561977">
    <w:abstractNumId w:val="68"/>
  </w:num>
  <w:num w:numId="11" w16cid:durableId="598877370">
    <w:abstractNumId w:val="72"/>
  </w:num>
  <w:num w:numId="12" w16cid:durableId="202324918">
    <w:abstractNumId w:val="63"/>
  </w:num>
  <w:num w:numId="13" w16cid:durableId="1891963088">
    <w:abstractNumId w:val="16"/>
  </w:num>
  <w:num w:numId="14" w16cid:durableId="819663217">
    <w:abstractNumId w:val="51"/>
  </w:num>
  <w:num w:numId="15" w16cid:durableId="998734929">
    <w:abstractNumId w:val="77"/>
  </w:num>
  <w:num w:numId="16" w16cid:durableId="822428334">
    <w:abstractNumId w:val="74"/>
  </w:num>
  <w:num w:numId="17" w16cid:durableId="1479036935">
    <w:abstractNumId w:val="18"/>
  </w:num>
  <w:num w:numId="18" w16cid:durableId="135995913">
    <w:abstractNumId w:val="40"/>
  </w:num>
  <w:num w:numId="19" w16cid:durableId="1937517445">
    <w:abstractNumId w:val="32"/>
  </w:num>
  <w:num w:numId="20" w16cid:durableId="1279338863">
    <w:abstractNumId w:val="36"/>
  </w:num>
  <w:num w:numId="21" w16cid:durableId="1113477129">
    <w:abstractNumId w:val="7"/>
  </w:num>
  <w:num w:numId="22" w16cid:durableId="1278490997">
    <w:abstractNumId w:val="34"/>
  </w:num>
  <w:num w:numId="23" w16cid:durableId="2039547139">
    <w:abstractNumId w:val="27"/>
  </w:num>
  <w:num w:numId="24" w16cid:durableId="1126847945">
    <w:abstractNumId w:val="58"/>
  </w:num>
  <w:num w:numId="25" w16cid:durableId="155921445">
    <w:abstractNumId w:val="43"/>
  </w:num>
  <w:num w:numId="26" w16cid:durableId="1272736480">
    <w:abstractNumId w:val="65"/>
  </w:num>
  <w:num w:numId="27" w16cid:durableId="605816073">
    <w:abstractNumId w:val="25"/>
  </w:num>
  <w:num w:numId="28" w16cid:durableId="1689329767">
    <w:abstractNumId w:val="31"/>
  </w:num>
  <w:num w:numId="29" w16cid:durableId="1420909661">
    <w:abstractNumId w:val="22"/>
  </w:num>
  <w:num w:numId="30" w16cid:durableId="1104882388">
    <w:abstractNumId w:val="66"/>
  </w:num>
  <w:num w:numId="31" w16cid:durableId="1161310741">
    <w:abstractNumId w:val="59"/>
  </w:num>
  <w:num w:numId="32" w16cid:durableId="1492792849">
    <w:abstractNumId w:val="49"/>
  </w:num>
  <w:num w:numId="33" w16cid:durableId="1948341854">
    <w:abstractNumId w:val="14"/>
  </w:num>
  <w:num w:numId="34" w16cid:durableId="1023702661">
    <w:abstractNumId w:val="6"/>
  </w:num>
  <w:num w:numId="35" w16cid:durableId="895313735">
    <w:abstractNumId w:val="53"/>
  </w:num>
  <w:num w:numId="36" w16cid:durableId="440146561">
    <w:abstractNumId w:val="48"/>
  </w:num>
  <w:num w:numId="37" w16cid:durableId="1730884140">
    <w:abstractNumId w:val="20"/>
  </w:num>
  <w:num w:numId="38" w16cid:durableId="2047100120">
    <w:abstractNumId w:val="13"/>
  </w:num>
  <w:num w:numId="39" w16cid:durableId="1206258055">
    <w:abstractNumId w:val="62"/>
  </w:num>
  <w:num w:numId="40" w16cid:durableId="1020739406">
    <w:abstractNumId w:val="67"/>
  </w:num>
  <w:num w:numId="41" w16cid:durableId="956792500">
    <w:abstractNumId w:val="38"/>
  </w:num>
  <w:num w:numId="42" w16cid:durableId="2045248959">
    <w:abstractNumId w:val="45"/>
  </w:num>
  <w:num w:numId="43" w16cid:durableId="1861354603">
    <w:abstractNumId w:val="44"/>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9"/>
  </w:num>
  <w:num w:numId="45" w16cid:durableId="1295866161">
    <w:abstractNumId w:val="0"/>
  </w:num>
  <w:num w:numId="46" w16cid:durableId="1458256063">
    <w:abstractNumId w:val="75"/>
  </w:num>
  <w:num w:numId="47" w16cid:durableId="870383637">
    <w:abstractNumId w:val="17"/>
  </w:num>
  <w:num w:numId="48" w16cid:durableId="1165707270">
    <w:abstractNumId w:val="2"/>
  </w:num>
  <w:num w:numId="49" w16cid:durableId="1131284155">
    <w:abstractNumId w:val="71"/>
  </w:num>
  <w:num w:numId="50" w16cid:durableId="1209798024">
    <w:abstractNumId w:val="46"/>
  </w:num>
  <w:num w:numId="51" w16cid:durableId="1718509016">
    <w:abstractNumId w:val="44"/>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4"/>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4"/>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30"/>
  </w:num>
  <w:num w:numId="56" w16cid:durableId="559364180">
    <w:abstractNumId w:val="42"/>
  </w:num>
  <w:num w:numId="57" w16cid:durableId="446780395">
    <w:abstractNumId w:val="21"/>
  </w:num>
  <w:num w:numId="58" w16cid:durableId="1286161012">
    <w:abstractNumId w:val="76"/>
  </w:num>
  <w:num w:numId="59" w16cid:durableId="1703436591">
    <w:abstractNumId w:val="60"/>
  </w:num>
  <w:num w:numId="60" w16cid:durableId="493230683">
    <w:abstractNumId w:val="28"/>
  </w:num>
  <w:num w:numId="61" w16cid:durableId="92744533">
    <w:abstractNumId w:val="64"/>
  </w:num>
  <w:num w:numId="62" w16cid:durableId="170419401">
    <w:abstractNumId w:val="29"/>
  </w:num>
  <w:num w:numId="63" w16cid:durableId="936711688">
    <w:abstractNumId w:val="8"/>
  </w:num>
  <w:num w:numId="64" w16cid:durableId="155464345">
    <w:abstractNumId w:val="23"/>
  </w:num>
  <w:num w:numId="65" w16cid:durableId="1504934258">
    <w:abstractNumId w:val="5"/>
  </w:num>
  <w:num w:numId="66" w16cid:durableId="807433128">
    <w:abstractNumId w:val="39"/>
  </w:num>
  <w:num w:numId="67" w16cid:durableId="589004429">
    <w:abstractNumId w:val="73"/>
  </w:num>
  <w:num w:numId="68" w16cid:durableId="1401444267">
    <w:abstractNumId w:val="52"/>
  </w:num>
  <w:num w:numId="69" w16cid:durableId="957028965">
    <w:abstractNumId w:val="33"/>
  </w:num>
  <w:num w:numId="70" w16cid:durableId="251008915">
    <w:abstractNumId w:val="69"/>
  </w:num>
  <w:num w:numId="71" w16cid:durableId="1327631643">
    <w:abstractNumId w:val="54"/>
  </w:num>
  <w:num w:numId="72" w16cid:durableId="1834947459">
    <w:abstractNumId w:val="11"/>
  </w:num>
  <w:num w:numId="73" w16cid:durableId="2040542742">
    <w:abstractNumId w:val="35"/>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7"/>
  </w:num>
  <w:num w:numId="77" w16cid:durableId="16775363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5"/>
  </w:num>
  <w:num w:numId="79" w16cid:durableId="1559390902">
    <w:abstractNumId w:val="1"/>
  </w:num>
  <w:num w:numId="80" w16cid:durableId="209512908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29429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36992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36476635">
    <w:abstractNumId w:val="9"/>
  </w:num>
  <w:num w:numId="84" w16cid:durableId="197591804">
    <w:abstractNumId w:val="1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83C"/>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2A07"/>
    <w:rsid w:val="0002388E"/>
    <w:rsid w:val="00023C68"/>
    <w:rsid w:val="00024335"/>
    <w:rsid w:val="00024FF5"/>
    <w:rsid w:val="00025AE8"/>
    <w:rsid w:val="00026D5D"/>
    <w:rsid w:val="000270EB"/>
    <w:rsid w:val="00031A4A"/>
    <w:rsid w:val="00032CD2"/>
    <w:rsid w:val="000407A6"/>
    <w:rsid w:val="00040830"/>
    <w:rsid w:val="00040C47"/>
    <w:rsid w:val="00040E79"/>
    <w:rsid w:val="00041C26"/>
    <w:rsid w:val="000424A0"/>
    <w:rsid w:val="000433DB"/>
    <w:rsid w:val="00043DF5"/>
    <w:rsid w:val="00044857"/>
    <w:rsid w:val="00044C4B"/>
    <w:rsid w:val="00044DC3"/>
    <w:rsid w:val="000456A0"/>
    <w:rsid w:val="00045FBB"/>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41B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BCD"/>
    <w:rsid w:val="001E1DAE"/>
    <w:rsid w:val="001E26F5"/>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912"/>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6EEE"/>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2332"/>
    <w:rsid w:val="002442C6"/>
    <w:rsid w:val="0024539C"/>
    <w:rsid w:val="00246446"/>
    <w:rsid w:val="00246950"/>
    <w:rsid w:val="00247B73"/>
    <w:rsid w:val="00251DE5"/>
    <w:rsid w:val="00253C87"/>
    <w:rsid w:val="00254481"/>
    <w:rsid w:val="00254585"/>
    <w:rsid w:val="00257191"/>
    <w:rsid w:val="0025774A"/>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A7A"/>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0031"/>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5C9"/>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802"/>
    <w:rsid w:val="002F0B74"/>
    <w:rsid w:val="002F1694"/>
    <w:rsid w:val="002F323B"/>
    <w:rsid w:val="002F3368"/>
    <w:rsid w:val="002F36C9"/>
    <w:rsid w:val="002F3B1F"/>
    <w:rsid w:val="002F3F5F"/>
    <w:rsid w:val="002F4121"/>
    <w:rsid w:val="002F4962"/>
    <w:rsid w:val="002F5CAA"/>
    <w:rsid w:val="002F6601"/>
    <w:rsid w:val="00300CE3"/>
    <w:rsid w:val="0030298F"/>
    <w:rsid w:val="003033A0"/>
    <w:rsid w:val="00305CBF"/>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3EB2"/>
    <w:rsid w:val="003252E7"/>
    <w:rsid w:val="00325D8A"/>
    <w:rsid w:val="00326B4F"/>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910"/>
    <w:rsid w:val="00351E8E"/>
    <w:rsid w:val="00352283"/>
    <w:rsid w:val="00352BFD"/>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35EB"/>
    <w:rsid w:val="00414414"/>
    <w:rsid w:val="00414647"/>
    <w:rsid w:val="004155CB"/>
    <w:rsid w:val="004157FC"/>
    <w:rsid w:val="004159C5"/>
    <w:rsid w:val="0041636E"/>
    <w:rsid w:val="00416841"/>
    <w:rsid w:val="004173F9"/>
    <w:rsid w:val="00417C68"/>
    <w:rsid w:val="00420A2A"/>
    <w:rsid w:val="00422479"/>
    <w:rsid w:val="00422E1C"/>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478C6"/>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574"/>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CE1"/>
    <w:rsid w:val="004A1ED4"/>
    <w:rsid w:val="004A24EB"/>
    <w:rsid w:val="004A340D"/>
    <w:rsid w:val="004A384F"/>
    <w:rsid w:val="004A6408"/>
    <w:rsid w:val="004A6B88"/>
    <w:rsid w:val="004A71A9"/>
    <w:rsid w:val="004B0802"/>
    <w:rsid w:val="004B0C09"/>
    <w:rsid w:val="004B2258"/>
    <w:rsid w:val="004B3AFD"/>
    <w:rsid w:val="004B47F0"/>
    <w:rsid w:val="004B5F94"/>
    <w:rsid w:val="004B6935"/>
    <w:rsid w:val="004B72CA"/>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BE8"/>
    <w:rsid w:val="004E4BDE"/>
    <w:rsid w:val="004E6A64"/>
    <w:rsid w:val="004E6E04"/>
    <w:rsid w:val="004F0512"/>
    <w:rsid w:val="004F0A0F"/>
    <w:rsid w:val="004F0B2C"/>
    <w:rsid w:val="004F1762"/>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660"/>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49D6"/>
    <w:rsid w:val="00556B7E"/>
    <w:rsid w:val="005572B5"/>
    <w:rsid w:val="00557651"/>
    <w:rsid w:val="005600ED"/>
    <w:rsid w:val="005607C8"/>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4D90"/>
    <w:rsid w:val="00575643"/>
    <w:rsid w:val="00577042"/>
    <w:rsid w:val="00577403"/>
    <w:rsid w:val="00577A9C"/>
    <w:rsid w:val="0058080C"/>
    <w:rsid w:val="00583087"/>
    <w:rsid w:val="005833AB"/>
    <w:rsid w:val="0058438E"/>
    <w:rsid w:val="00584598"/>
    <w:rsid w:val="00584BAE"/>
    <w:rsid w:val="00584D6F"/>
    <w:rsid w:val="005859DD"/>
    <w:rsid w:val="00585F10"/>
    <w:rsid w:val="0058680B"/>
    <w:rsid w:val="00587019"/>
    <w:rsid w:val="005875B0"/>
    <w:rsid w:val="00590244"/>
    <w:rsid w:val="00590802"/>
    <w:rsid w:val="00591F70"/>
    <w:rsid w:val="00593A6F"/>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0EF"/>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5FDB"/>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76A71"/>
    <w:rsid w:val="006820EB"/>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171F8"/>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37AF9"/>
    <w:rsid w:val="007403DA"/>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67B77"/>
    <w:rsid w:val="007715EA"/>
    <w:rsid w:val="007734B6"/>
    <w:rsid w:val="007739A6"/>
    <w:rsid w:val="00774068"/>
    <w:rsid w:val="00776381"/>
    <w:rsid w:val="00782FF3"/>
    <w:rsid w:val="00784BBC"/>
    <w:rsid w:val="00784EB6"/>
    <w:rsid w:val="007852FE"/>
    <w:rsid w:val="00787E29"/>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2523"/>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5EED"/>
    <w:rsid w:val="007E7391"/>
    <w:rsid w:val="007F0011"/>
    <w:rsid w:val="007F01DD"/>
    <w:rsid w:val="007F179D"/>
    <w:rsid w:val="007F1B16"/>
    <w:rsid w:val="007F4D10"/>
    <w:rsid w:val="007F5067"/>
    <w:rsid w:val="007F63C2"/>
    <w:rsid w:val="007F7D64"/>
    <w:rsid w:val="00800A84"/>
    <w:rsid w:val="00800BC4"/>
    <w:rsid w:val="0080182D"/>
    <w:rsid w:val="00801A29"/>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46AEB"/>
    <w:rsid w:val="008502F6"/>
    <w:rsid w:val="008504E7"/>
    <w:rsid w:val="00850B17"/>
    <w:rsid w:val="00850EA7"/>
    <w:rsid w:val="00851517"/>
    <w:rsid w:val="00851B3E"/>
    <w:rsid w:val="00851EC4"/>
    <w:rsid w:val="00853177"/>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5225"/>
    <w:rsid w:val="00865470"/>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7BC0"/>
    <w:rsid w:val="008B0549"/>
    <w:rsid w:val="008B33F8"/>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2C64"/>
    <w:rsid w:val="008F395B"/>
    <w:rsid w:val="008F46B0"/>
    <w:rsid w:val="008F4732"/>
    <w:rsid w:val="008F4841"/>
    <w:rsid w:val="008F5BA6"/>
    <w:rsid w:val="008F5D10"/>
    <w:rsid w:val="008F60E4"/>
    <w:rsid w:val="008F624F"/>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4167"/>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4005"/>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5F45"/>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C7CE4"/>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0BB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532"/>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18A"/>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465"/>
    <w:rsid w:val="00B75589"/>
    <w:rsid w:val="00B80E2E"/>
    <w:rsid w:val="00B82676"/>
    <w:rsid w:val="00B82BCF"/>
    <w:rsid w:val="00B82FAB"/>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B65C3"/>
    <w:rsid w:val="00BC007B"/>
    <w:rsid w:val="00BC1AD5"/>
    <w:rsid w:val="00BC1BD2"/>
    <w:rsid w:val="00BC1E2D"/>
    <w:rsid w:val="00BC2740"/>
    <w:rsid w:val="00BC29F3"/>
    <w:rsid w:val="00BC359D"/>
    <w:rsid w:val="00BC368B"/>
    <w:rsid w:val="00BC5426"/>
    <w:rsid w:val="00BC64DA"/>
    <w:rsid w:val="00BC6920"/>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4747F"/>
    <w:rsid w:val="00C52186"/>
    <w:rsid w:val="00C52A6F"/>
    <w:rsid w:val="00C5378A"/>
    <w:rsid w:val="00C53ED1"/>
    <w:rsid w:val="00C53F6F"/>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8A8"/>
    <w:rsid w:val="00CA6E0E"/>
    <w:rsid w:val="00CA71CF"/>
    <w:rsid w:val="00CA7D48"/>
    <w:rsid w:val="00CB0950"/>
    <w:rsid w:val="00CB1A30"/>
    <w:rsid w:val="00CB2210"/>
    <w:rsid w:val="00CB343B"/>
    <w:rsid w:val="00CB56E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7F5"/>
    <w:rsid w:val="00DA7EC2"/>
    <w:rsid w:val="00DB0AFC"/>
    <w:rsid w:val="00DB0D6C"/>
    <w:rsid w:val="00DB35CC"/>
    <w:rsid w:val="00DB41B9"/>
    <w:rsid w:val="00DB5433"/>
    <w:rsid w:val="00DB58AA"/>
    <w:rsid w:val="00DB59A1"/>
    <w:rsid w:val="00DB5A04"/>
    <w:rsid w:val="00DB6579"/>
    <w:rsid w:val="00DB7563"/>
    <w:rsid w:val="00DB78E9"/>
    <w:rsid w:val="00DC0C4E"/>
    <w:rsid w:val="00DC13A2"/>
    <w:rsid w:val="00DC1586"/>
    <w:rsid w:val="00DC210E"/>
    <w:rsid w:val="00DC368F"/>
    <w:rsid w:val="00DC3A73"/>
    <w:rsid w:val="00DC423C"/>
    <w:rsid w:val="00DC6BC7"/>
    <w:rsid w:val="00DC6E15"/>
    <w:rsid w:val="00DC7ABB"/>
    <w:rsid w:val="00DC7E42"/>
    <w:rsid w:val="00DD057C"/>
    <w:rsid w:val="00DD16C1"/>
    <w:rsid w:val="00DD285C"/>
    <w:rsid w:val="00DD29F3"/>
    <w:rsid w:val="00DD3D87"/>
    <w:rsid w:val="00DD59A6"/>
    <w:rsid w:val="00DD5D53"/>
    <w:rsid w:val="00DD67AF"/>
    <w:rsid w:val="00DD6E2D"/>
    <w:rsid w:val="00DD707D"/>
    <w:rsid w:val="00DD7C67"/>
    <w:rsid w:val="00DD7E7F"/>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A58"/>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364C"/>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448"/>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D6FF6"/>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4B4"/>
    <w:rsid w:val="00EF6EDC"/>
    <w:rsid w:val="00F0038E"/>
    <w:rsid w:val="00F0115B"/>
    <w:rsid w:val="00F014F1"/>
    <w:rsid w:val="00F034B3"/>
    <w:rsid w:val="00F035D7"/>
    <w:rsid w:val="00F047C1"/>
    <w:rsid w:val="00F04D69"/>
    <w:rsid w:val="00F04D77"/>
    <w:rsid w:val="00F05A72"/>
    <w:rsid w:val="00F06858"/>
    <w:rsid w:val="00F0725A"/>
    <w:rsid w:val="00F113C0"/>
    <w:rsid w:val="00F117E4"/>
    <w:rsid w:val="00F11C39"/>
    <w:rsid w:val="00F12797"/>
    <w:rsid w:val="00F1470F"/>
    <w:rsid w:val="00F15DCF"/>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24C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6E93"/>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355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337F45DC-87E5-4F80-80FF-8CF62F208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17</Pages>
  <Words>12130</Words>
  <Characters>69142</Characters>
  <Application>Microsoft Office Word</Application>
  <DocSecurity>0</DocSecurity>
  <Lines>576</Lines>
  <Paragraphs>162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SPLA</dc:creator>
  <cp:keywords/>
  <dc:description/>
  <cp:lastModifiedBy>SPLA</cp:lastModifiedBy>
  <cp:revision>7</cp:revision>
  <dcterms:created xsi:type="dcterms:W3CDTF">2025-11-19T07:06:00Z</dcterms:created>
  <dcterms:modified xsi:type="dcterms:W3CDTF">2025-11-20T20:59:00Z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